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202" w:rsidRDefault="00C75202" w:rsidP="00C75202">
      <w:pPr>
        <w:keepNext/>
        <w:keepLines/>
        <w:spacing w:before="240" w:after="240" w:line="276" w:lineRule="auto"/>
        <w:jc w:val="center"/>
        <w:outlineLvl w:val="2"/>
        <w:rPr>
          <w:rFonts w:ascii="Times New Roman" w:eastAsiaTheme="majorEastAsia" w:hAnsi="Times New Roman" w:cs="Times New Roman"/>
          <w:b/>
          <w:bCs/>
          <w:color w:val="1F4D78" w:themeColor="accent1" w:themeShade="7F"/>
          <w:sz w:val="24"/>
          <w:szCs w:val="28"/>
          <w:lang w:val="en-GB" w:eastAsia="en-GB"/>
        </w:rPr>
      </w:pPr>
      <w:bookmarkStart w:id="0" w:name="_Toc108711133"/>
      <w:r>
        <w:rPr>
          <w:rFonts w:ascii="Times New Roman" w:eastAsiaTheme="majorEastAsia" w:hAnsi="Times New Roman" w:cs="Times New Roman"/>
          <w:b/>
          <w:bCs/>
          <w:color w:val="1F4D78" w:themeColor="accent1" w:themeShade="7F"/>
          <w:sz w:val="24"/>
          <w:szCs w:val="28"/>
          <w:lang w:val="en-GB" w:eastAsia="en-GB"/>
        </w:rPr>
        <w:t>DRAFT</w:t>
      </w:r>
    </w:p>
    <w:p w:rsidR="00C75202" w:rsidRPr="00C75202" w:rsidRDefault="00C75202" w:rsidP="00C75202">
      <w:pPr>
        <w:keepNext/>
        <w:keepLines/>
        <w:spacing w:before="240" w:after="240" w:line="276" w:lineRule="auto"/>
        <w:jc w:val="both"/>
        <w:outlineLvl w:val="2"/>
        <w:rPr>
          <w:rFonts w:ascii="Times New Roman" w:eastAsiaTheme="majorEastAsia" w:hAnsi="Times New Roman" w:cs="Times New Roman"/>
          <w:b/>
          <w:bCs/>
          <w:color w:val="1F4D78" w:themeColor="accent1" w:themeShade="7F"/>
          <w:sz w:val="24"/>
          <w:szCs w:val="28"/>
          <w:lang w:val="en-GB" w:eastAsia="en-GB"/>
        </w:rPr>
      </w:pPr>
      <w:bookmarkStart w:id="1" w:name="_GoBack"/>
      <w:r w:rsidRPr="00C75202">
        <w:rPr>
          <w:rFonts w:ascii="Times New Roman" w:eastAsiaTheme="majorEastAsia" w:hAnsi="Times New Roman" w:cs="Times New Roman"/>
          <w:b/>
          <w:bCs/>
          <w:color w:val="1F4D78" w:themeColor="accent1" w:themeShade="7F"/>
          <w:sz w:val="24"/>
          <w:szCs w:val="28"/>
          <w:lang w:val="en-GB" w:eastAsia="en-GB"/>
        </w:rPr>
        <w:t>HORIZON-MISS-2023-CIT-01-01</w:t>
      </w:r>
      <w:bookmarkEnd w:id="1"/>
      <w:r w:rsidRPr="00C75202">
        <w:rPr>
          <w:rFonts w:ascii="Times New Roman" w:eastAsiaTheme="majorEastAsia" w:hAnsi="Times New Roman" w:cs="Times New Roman"/>
          <w:b/>
          <w:bCs/>
          <w:color w:val="1F4D78" w:themeColor="accent1" w:themeShade="7F"/>
          <w:sz w:val="24"/>
          <w:szCs w:val="28"/>
          <w:lang w:val="en-GB" w:eastAsia="en-GB"/>
        </w:rPr>
        <w:t>: Co-designed smart systems and services for user-centred shared zero-emission mobility of people and freight in urban areas (2Zero, CCAM and Cities’ Mission)</w:t>
      </w:r>
      <w:bookmarkEnd w:id="0"/>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5" w:type="dxa"/>
          <w:left w:w="115" w:type="dxa"/>
          <w:right w:w="115" w:type="dxa"/>
        </w:tblCellMar>
        <w:tblLook w:val="04A0" w:firstRow="1" w:lastRow="0" w:firstColumn="1" w:lastColumn="0" w:noHBand="0" w:noVBand="1"/>
      </w:tblPr>
      <w:tblGrid>
        <w:gridCol w:w="2070"/>
        <w:gridCol w:w="6986"/>
      </w:tblGrid>
      <w:tr w:rsidR="00C75202" w:rsidRPr="00C75202" w:rsidTr="00150092">
        <w:tc>
          <w:tcPr>
            <w:tcW w:w="0" w:type="auto"/>
            <w:gridSpan w:val="2"/>
          </w:tcPr>
          <w:p w:rsidR="00C75202" w:rsidRPr="00C75202" w:rsidRDefault="00C75202" w:rsidP="00C75202">
            <w:pPr>
              <w:spacing w:after="80" w:line="276" w:lineRule="auto"/>
              <w:jc w:val="both"/>
              <w:rPr>
                <w:rFonts w:ascii="Times New Roman" w:eastAsiaTheme="minorEastAsia" w:hAnsi="Times New Roman" w:cs="Times New Roman"/>
                <w:sz w:val="24"/>
                <w:szCs w:val="24"/>
                <w:lang w:val="en-GB" w:eastAsia="en-GB"/>
              </w:rPr>
            </w:pPr>
            <w:r w:rsidRPr="00C75202">
              <w:rPr>
                <w:rFonts w:ascii="Times New Roman" w:eastAsiaTheme="minorEastAsia" w:hAnsi="Times New Roman" w:cs="Times New Roman"/>
                <w:b/>
                <w:sz w:val="24"/>
                <w:szCs w:val="24"/>
                <w:lang w:val="en-GB" w:eastAsia="en-GB"/>
              </w:rPr>
              <w:t>Specific conditions</w:t>
            </w:r>
          </w:p>
        </w:tc>
      </w:tr>
      <w:tr w:rsidR="00C75202" w:rsidRPr="00C75202" w:rsidTr="00150092">
        <w:tc>
          <w:tcPr>
            <w:tcW w:w="0" w:type="auto"/>
          </w:tcPr>
          <w:p w:rsidR="00C75202" w:rsidRPr="00C75202" w:rsidRDefault="00C75202" w:rsidP="00C75202">
            <w:pPr>
              <w:spacing w:after="80" w:line="276" w:lineRule="auto"/>
              <w:rPr>
                <w:rFonts w:ascii="Times New Roman" w:eastAsiaTheme="minorEastAsia" w:hAnsi="Times New Roman" w:cs="Times New Roman"/>
                <w:sz w:val="24"/>
                <w:szCs w:val="24"/>
                <w:lang w:val="en-GB" w:eastAsia="en-GB"/>
              </w:rPr>
            </w:pPr>
            <w:r w:rsidRPr="00C75202">
              <w:rPr>
                <w:rFonts w:ascii="Times New Roman" w:eastAsiaTheme="minorEastAsia" w:hAnsi="Times New Roman" w:cs="Times New Roman"/>
                <w:i/>
                <w:sz w:val="24"/>
                <w:szCs w:val="24"/>
                <w:lang w:val="en-GB" w:eastAsia="en-GB"/>
              </w:rPr>
              <w:t>Expected EU contribution per project</w:t>
            </w:r>
          </w:p>
        </w:tc>
        <w:tc>
          <w:tcPr>
            <w:tcW w:w="0" w:type="auto"/>
          </w:tcPr>
          <w:p w:rsidR="00C75202" w:rsidRPr="00C75202" w:rsidRDefault="00C75202" w:rsidP="00C75202">
            <w:pPr>
              <w:spacing w:after="80" w:line="276" w:lineRule="auto"/>
              <w:jc w:val="both"/>
              <w:rPr>
                <w:rFonts w:ascii="Times New Roman" w:eastAsiaTheme="minorEastAsia" w:hAnsi="Times New Roman" w:cs="Times New Roman"/>
                <w:sz w:val="24"/>
                <w:szCs w:val="24"/>
                <w:lang w:val="en-GB" w:eastAsia="en-GB"/>
              </w:rPr>
            </w:pPr>
            <w:r w:rsidRPr="00C75202">
              <w:rPr>
                <w:rFonts w:ascii="Times New Roman" w:eastAsiaTheme="minorEastAsia" w:hAnsi="Times New Roman" w:cs="Times New Roman"/>
                <w:sz w:val="24"/>
                <w:szCs w:val="24"/>
                <w:lang w:val="en-GB" w:eastAsia="en-GB"/>
              </w:rPr>
              <w:t xml:space="preserve">The Commission estimates that an EU contribution of around EUR 25.00 million would allow these outcomes to </w:t>
            </w:r>
            <w:proofErr w:type="gramStart"/>
            <w:r w:rsidRPr="00C75202">
              <w:rPr>
                <w:rFonts w:ascii="Times New Roman" w:eastAsiaTheme="minorEastAsia" w:hAnsi="Times New Roman" w:cs="Times New Roman"/>
                <w:sz w:val="24"/>
                <w:szCs w:val="24"/>
                <w:lang w:val="en-GB" w:eastAsia="en-GB"/>
              </w:rPr>
              <w:t>be addressed</w:t>
            </w:r>
            <w:proofErr w:type="gramEnd"/>
            <w:r w:rsidRPr="00C75202">
              <w:rPr>
                <w:rFonts w:ascii="Times New Roman" w:eastAsiaTheme="minorEastAsia" w:hAnsi="Times New Roman" w:cs="Times New Roman"/>
                <w:sz w:val="24"/>
                <w:szCs w:val="24"/>
                <w:lang w:val="en-GB" w:eastAsia="en-GB"/>
              </w:rPr>
              <w:t xml:space="preserve"> appropriately. Nonetheless, this does not preclude submission and selection of a proposal requesting different amounts.</w:t>
            </w:r>
          </w:p>
        </w:tc>
      </w:tr>
      <w:tr w:rsidR="00C75202" w:rsidRPr="00C75202" w:rsidTr="00150092">
        <w:tc>
          <w:tcPr>
            <w:tcW w:w="0" w:type="auto"/>
          </w:tcPr>
          <w:p w:rsidR="00C75202" w:rsidRPr="00C75202" w:rsidRDefault="00C75202" w:rsidP="00C75202">
            <w:pPr>
              <w:spacing w:after="80" w:line="276" w:lineRule="auto"/>
              <w:rPr>
                <w:rFonts w:ascii="Times New Roman" w:eastAsiaTheme="minorEastAsia" w:hAnsi="Times New Roman" w:cs="Times New Roman"/>
                <w:sz w:val="24"/>
                <w:szCs w:val="24"/>
                <w:lang w:val="en-GB" w:eastAsia="en-GB"/>
              </w:rPr>
            </w:pPr>
            <w:r w:rsidRPr="00C75202">
              <w:rPr>
                <w:rFonts w:ascii="Times New Roman" w:eastAsiaTheme="minorEastAsia" w:hAnsi="Times New Roman" w:cs="Times New Roman"/>
                <w:i/>
                <w:sz w:val="24"/>
                <w:szCs w:val="24"/>
                <w:lang w:val="en-GB" w:eastAsia="en-GB"/>
              </w:rPr>
              <w:t>Indicative budget</w:t>
            </w:r>
          </w:p>
        </w:tc>
        <w:tc>
          <w:tcPr>
            <w:tcW w:w="0" w:type="auto"/>
          </w:tcPr>
          <w:p w:rsidR="00C75202" w:rsidRPr="00C75202" w:rsidRDefault="00C75202" w:rsidP="00C75202">
            <w:pPr>
              <w:spacing w:after="80" w:line="276" w:lineRule="auto"/>
              <w:jc w:val="both"/>
              <w:rPr>
                <w:rFonts w:ascii="Times New Roman" w:eastAsiaTheme="minorEastAsia" w:hAnsi="Times New Roman" w:cs="Times New Roman"/>
                <w:sz w:val="24"/>
                <w:szCs w:val="24"/>
                <w:lang w:val="en-GB" w:eastAsia="en-GB"/>
              </w:rPr>
            </w:pPr>
            <w:r w:rsidRPr="00C75202">
              <w:rPr>
                <w:rFonts w:ascii="Times New Roman" w:eastAsiaTheme="minorEastAsia" w:hAnsi="Times New Roman" w:cs="Times New Roman"/>
                <w:sz w:val="24"/>
                <w:szCs w:val="24"/>
                <w:lang w:val="en-GB" w:eastAsia="en-GB"/>
              </w:rPr>
              <w:t>The total indicative budget for the topic is EUR 50.00 million.</w:t>
            </w:r>
          </w:p>
        </w:tc>
      </w:tr>
      <w:tr w:rsidR="00C75202" w:rsidRPr="00C75202" w:rsidTr="00150092">
        <w:tc>
          <w:tcPr>
            <w:tcW w:w="0" w:type="auto"/>
          </w:tcPr>
          <w:p w:rsidR="00C75202" w:rsidRPr="00C75202" w:rsidRDefault="00C75202" w:rsidP="00C75202">
            <w:pPr>
              <w:spacing w:after="80" w:line="276" w:lineRule="auto"/>
              <w:rPr>
                <w:rFonts w:ascii="Times New Roman" w:eastAsiaTheme="minorEastAsia" w:hAnsi="Times New Roman" w:cs="Times New Roman"/>
                <w:sz w:val="24"/>
                <w:szCs w:val="24"/>
                <w:lang w:val="en-GB" w:eastAsia="en-GB"/>
              </w:rPr>
            </w:pPr>
            <w:r w:rsidRPr="00C75202">
              <w:rPr>
                <w:rFonts w:ascii="Times New Roman" w:eastAsiaTheme="minorEastAsia" w:hAnsi="Times New Roman" w:cs="Times New Roman"/>
                <w:i/>
                <w:sz w:val="24"/>
                <w:szCs w:val="24"/>
                <w:lang w:val="en-GB" w:eastAsia="en-GB"/>
              </w:rPr>
              <w:t>Type of Action</w:t>
            </w:r>
          </w:p>
        </w:tc>
        <w:tc>
          <w:tcPr>
            <w:tcW w:w="0" w:type="auto"/>
          </w:tcPr>
          <w:p w:rsidR="00C75202" w:rsidRPr="00C75202" w:rsidRDefault="00C75202" w:rsidP="00C75202">
            <w:pPr>
              <w:spacing w:after="80" w:line="276" w:lineRule="auto"/>
              <w:jc w:val="both"/>
              <w:rPr>
                <w:rFonts w:ascii="Times New Roman" w:eastAsiaTheme="minorEastAsia" w:hAnsi="Times New Roman" w:cs="Times New Roman"/>
                <w:sz w:val="24"/>
                <w:szCs w:val="24"/>
                <w:lang w:val="en-GB" w:eastAsia="en-GB"/>
              </w:rPr>
            </w:pPr>
            <w:r w:rsidRPr="00C75202">
              <w:rPr>
                <w:rFonts w:ascii="Times New Roman" w:eastAsiaTheme="minorEastAsia" w:hAnsi="Times New Roman" w:cs="Times New Roman"/>
                <w:color w:val="000000"/>
                <w:sz w:val="24"/>
                <w:szCs w:val="24"/>
                <w:lang w:val="en-GB" w:eastAsia="en-GB"/>
              </w:rPr>
              <w:t>Innovation Actions</w:t>
            </w:r>
          </w:p>
        </w:tc>
      </w:tr>
      <w:tr w:rsidR="00C75202" w:rsidRPr="00C75202" w:rsidTr="00150092">
        <w:tc>
          <w:tcPr>
            <w:tcW w:w="0" w:type="auto"/>
          </w:tcPr>
          <w:p w:rsidR="00C75202" w:rsidRPr="00C75202" w:rsidRDefault="00C75202" w:rsidP="00C75202">
            <w:pPr>
              <w:spacing w:after="80" w:line="276" w:lineRule="auto"/>
              <w:rPr>
                <w:rFonts w:ascii="Times New Roman" w:eastAsiaTheme="minorEastAsia" w:hAnsi="Times New Roman" w:cs="Times New Roman"/>
                <w:sz w:val="24"/>
                <w:szCs w:val="24"/>
                <w:lang w:val="en-GB" w:eastAsia="en-GB"/>
              </w:rPr>
            </w:pPr>
            <w:r w:rsidRPr="00C75202">
              <w:rPr>
                <w:rFonts w:ascii="Times New Roman" w:eastAsiaTheme="minorEastAsia" w:hAnsi="Times New Roman" w:cs="Times New Roman"/>
                <w:i/>
                <w:sz w:val="24"/>
                <w:szCs w:val="24"/>
                <w:lang w:val="en-GB" w:eastAsia="en-GB"/>
              </w:rPr>
              <w:t>Eligibility conditions</w:t>
            </w:r>
          </w:p>
        </w:tc>
        <w:tc>
          <w:tcPr>
            <w:tcW w:w="0" w:type="auto"/>
          </w:tcPr>
          <w:p w:rsidR="00C75202" w:rsidRPr="00C75202" w:rsidRDefault="00C75202" w:rsidP="00C75202">
            <w:pPr>
              <w:spacing w:after="80" w:line="276" w:lineRule="auto"/>
              <w:jc w:val="both"/>
              <w:rPr>
                <w:rFonts w:ascii="Times New Roman" w:eastAsiaTheme="minorEastAsia" w:hAnsi="Times New Roman" w:cs="Times New Roman"/>
                <w:sz w:val="24"/>
                <w:szCs w:val="24"/>
                <w:lang w:val="en-GB" w:eastAsia="en-GB"/>
              </w:rPr>
            </w:pPr>
            <w:r w:rsidRPr="00C75202">
              <w:rPr>
                <w:rFonts w:ascii="Times New Roman" w:eastAsiaTheme="minorEastAsia" w:hAnsi="Times New Roman" w:cs="Times New Roman"/>
                <w:color w:val="000000"/>
                <w:sz w:val="24"/>
                <w:szCs w:val="24"/>
                <w:lang w:val="en-GB" w:eastAsia="en-GB"/>
              </w:rPr>
              <w:t xml:space="preserve">The conditions </w:t>
            </w:r>
            <w:proofErr w:type="gramStart"/>
            <w:r w:rsidRPr="00C75202">
              <w:rPr>
                <w:rFonts w:ascii="Times New Roman" w:eastAsiaTheme="minorEastAsia" w:hAnsi="Times New Roman" w:cs="Times New Roman"/>
                <w:color w:val="000000"/>
                <w:sz w:val="24"/>
                <w:szCs w:val="24"/>
                <w:lang w:val="en-GB" w:eastAsia="en-GB"/>
              </w:rPr>
              <w:t>are described</w:t>
            </w:r>
            <w:proofErr w:type="gramEnd"/>
            <w:r w:rsidRPr="00C75202">
              <w:rPr>
                <w:rFonts w:ascii="Times New Roman" w:eastAsiaTheme="minorEastAsia" w:hAnsi="Times New Roman" w:cs="Times New Roman"/>
                <w:color w:val="000000"/>
                <w:sz w:val="24"/>
                <w:szCs w:val="24"/>
                <w:lang w:val="en-GB" w:eastAsia="en-GB"/>
              </w:rPr>
              <w:t xml:space="preserve"> in General Annex B. The following exceptions apply:</w:t>
            </w:r>
          </w:p>
          <w:p w:rsidR="00C75202" w:rsidRPr="00C75202" w:rsidRDefault="00C75202" w:rsidP="00C75202">
            <w:pPr>
              <w:spacing w:after="80" w:line="276" w:lineRule="auto"/>
              <w:jc w:val="both"/>
              <w:rPr>
                <w:rFonts w:ascii="Times New Roman" w:eastAsiaTheme="minorEastAsia" w:hAnsi="Times New Roman" w:cs="Times New Roman"/>
                <w:sz w:val="24"/>
                <w:szCs w:val="24"/>
                <w:lang w:val="en-GB" w:eastAsia="en-GB"/>
              </w:rPr>
            </w:pPr>
            <w:r w:rsidRPr="00C75202">
              <w:rPr>
                <w:rFonts w:ascii="Times New Roman" w:eastAsiaTheme="minorEastAsia" w:hAnsi="Times New Roman" w:cs="Times New Roman"/>
                <w:color w:val="000000"/>
                <w:sz w:val="24"/>
                <w:szCs w:val="24"/>
                <w:lang w:val="en-GB" w:eastAsia="en-GB"/>
              </w:rPr>
              <w:t>If projects use satellite-based earth observation, positioning, navigation and/or related timing data and services, beneficiaries must make use of Copernicus and/or Galileo/EGNOS (other data and services may additionally be used).</w:t>
            </w:r>
          </w:p>
        </w:tc>
      </w:tr>
      <w:tr w:rsidR="00C75202" w:rsidRPr="00C75202" w:rsidTr="00150092">
        <w:tc>
          <w:tcPr>
            <w:tcW w:w="0" w:type="auto"/>
          </w:tcPr>
          <w:p w:rsidR="00C75202" w:rsidRPr="00C75202" w:rsidRDefault="00C75202" w:rsidP="00C75202">
            <w:pPr>
              <w:spacing w:after="80" w:line="276" w:lineRule="auto"/>
              <w:rPr>
                <w:rFonts w:ascii="Times New Roman" w:eastAsiaTheme="minorEastAsia" w:hAnsi="Times New Roman" w:cs="Times New Roman"/>
                <w:sz w:val="24"/>
                <w:szCs w:val="24"/>
                <w:lang w:val="en-GB" w:eastAsia="en-GB"/>
              </w:rPr>
            </w:pPr>
            <w:r w:rsidRPr="00C75202">
              <w:rPr>
                <w:rFonts w:ascii="Times New Roman" w:eastAsiaTheme="minorEastAsia" w:hAnsi="Times New Roman" w:cs="Times New Roman"/>
                <w:i/>
                <w:sz w:val="24"/>
                <w:szCs w:val="24"/>
                <w:lang w:val="en-GB" w:eastAsia="en-GB"/>
              </w:rPr>
              <w:t>Technology Readiness Level</w:t>
            </w:r>
          </w:p>
        </w:tc>
        <w:tc>
          <w:tcPr>
            <w:tcW w:w="0" w:type="auto"/>
          </w:tcPr>
          <w:p w:rsidR="00C75202" w:rsidRPr="00C75202" w:rsidRDefault="00C75202" w:rsidP="00C75202">
            <w:pPr>
              <w:spacing w:after="80" w:line="276" w:lineRule="auto"/>
              <w:jc w:val="both"/>
              <w:rPr>
                <w:rFonts w:ascii="Times New Roman" w:eastAsiaTheme="minorEastAsia" w:hAnsi="Times New Roman" w:cs="Times New Roman"/>
                <w:sz w:val="24"/>
                <w:szCs w:val="24"/>
                <w:lang w:val="en-GB" w:eastAsia="en-GB"/>
              </w:rPr>
            </w:pPr>
            <w:r w:rsidRPr="00C75202">
              <w:rPr>
                <w:rFonts w:ascii="Times New Roman" w:eastAsiaTheme="minorEastAsia" w:hAnsi="Times New Roman" w:cs="Times New Roman"/>
                <w:color w:val="000000"/>
                <w:sz w:val="24"/>
                <w:szCs w:val="24"/>
                <w:lang w:val="en-GB" w:eastAsia="en-GB"/>
              </w:rPr>
              <w:t>Activities are expected to achieve TRL 7 by the end of the project – see General Annex B.</w:t>
            </w:r>
          </w:p>
        </w:tc>
      </w:tr>
      <w:tr w:rsidR="00C75202" w:rsidRPr="00C75202" w:rsidTr="00150092">
        <w:tc>
          <w:tcPr>
            <w:tcW w:w="0" w:type="auto"/>
          </w:tcPr>
          <w:p w:rsidR="00C75202" w:rsidRPr="00C75202" w:rsidRDefault="00C75202" w:rsidP="00C75202">
            <w:pPr>
              <w:spacing w:after="80" w:line="276" w:lineRule="auto"/>
              <w:rPr>
                <w:rFonts w:ascii="Times New Roman" w:eastAsiaTheme="minorEastAsia" w:hAnsi="Times New Roman" w:cs="Times New Roman"/>
                <w:sz w:val="24"/>
                <w:szCs w:val="24"/>
                <w:lang w:val="en-GB" w:eastAsia="en-GB"/>
              </w:rPr>
            </w:pPr>
            <w:r w:rsidRPr="00C75202">
              <w:rPr>
                <w:rFonts w:ascii="Times New Roman" w:eastAsiaTheme="minorEastAsia" w:hAnsi="Times New Roman" w:cs="Times New Roman"/>
                <w:i/>
                <w:sz w:val="24"/>
                <w:szCs w:val="24"/>
                <w:lang w:val="en-GB" w:eastAsia="en-GB"/>
              </w:rPr>
              <w:t>Legal and financial set-up of the Grant Agreements</w:t>
            </w:r>
          </w:p>
        </w:tc>
        <w:tc>
          <w:tcPr>
            <w:tcW w:w="0" w:type="auto"/>
          </w:tcPr>
          <w:p w:rsidR="00C75202" w:rsidRPr="00C75202" w:rsidRDefault="00C75202" w:rsidP="00C75202">
            <w:pPr>
              <w:spacing w:after="80" w:line="276" w:lineRule="auto"/>
              <w:jc w:val="both"/>
              <w:rPr>
                <w:rFonts w:ascii="Times New Roman" w:eastAsiaTheme="minorEastAsia" w:hAnsi="Times New Roman" w:cs="Times New Roman"/>
                <w:sz w:val="24"/>
                <w:szCs w:val="24"/>
                <w:lang w:val="en-GB" w:eastAsia="en-GB"/>
              </w:rPr>
            </w:pPr>
            <w:r w:rsidRPr="00C75202">
              <w:rPr>
                <w:rFonts w:ascii="Times New Roman" w:eastAsiaTheme="minorEastAsia" w:hAnsi="Times New Roman" w:cs="Times New Roman"/>
                <w:color w:val="000000"/>
                <w:sz w:val="24"/>
                <w:szCs w:val="24"/>
                <w:lang w:val="en-GB" w:eastAsia="en-GB"/>
              </w:rPr>
              <w:t xml:space="preserve">The rules </w:t>
            </w:r>
            <w:proofErr w:type="gramStart"/>
            <w:r w:rsidRPr="00C75202">
              <w:rPr>
                <w:rFonts w:ascii="Times New Roman" w:eastAsiaTheme="minorEastAsia" w:hAnsi="Times New Roman" w:cs="Times New Roman"/>
                <w:color w:val="000000"/>
                <w:sz w:val="24"/>
                <w:szCs w:val="24"/>
                <w:lang w:val="en-GB" w:eastAsia="en-GB"/>
              </w:rPr>
              <w:t>are described</w:t>
            </w:r>
            <w:proofErr w:type="gramEnd"/>
            <w:r w:rsidRPr="00C75202">
              <w:rPr>
                <w:rFonts w:ascii="Times New Roman" w:eastAsiaTheme="minorEastAsia" w:hAnsi="Times New Roman" w:cs="Times New Roman"/>
                <w:color w:val="000000"/>
                <w:sz w:val="24"/>
                <w:szCs w:val="24"/>
                <w:lang w:val="en-GB" w:eastAsia="en-GB"/>
              </w:rPr>
              <w:t xml:space="preserve"> in General Annex G. The following exceptions apply:</w:t>
            </w:r>
          </w:p>
          <w:p w:rsidR="00C75202" w:rsidRPr="00C75202" w:rsidRDefault="00C75202" w:rsidP="00C75202">
            <w:pPr>
              <w:spacing w:after="80" w:line="276" w:lineRule="auto"/>
              <w:jc w:val="both"/>
              <w:rPr>
                <w:rFonts w:ascii="Times New Roman" w:eastAsiaTheme="minorEastAsia" w:hAnsi="Times New Roman" w:cs="Times New Roman"/>
                <w:sz w:val="24"/>
                <w:szCs w:val="24"/>
                <w:lang w:val="en-GB" w:eastAsia="en-GB"/>
              </w:rPr>
            </w:pPr>
            <w:r w:rsidRPr="00C75202">
              <w:rPr>
                <w:rFonts w:ascii="Times New Roman" w:eastAsiaTheme="minorEastAsia" w:hAnsi="Times New Roman" w:cs="Times New Roman"/>
                <w:color w:val="000000"/>
                <w:sz w:val="24"/>
                <w:szCs w:val="24"/>
                <w:lang w:val="en-GB" w:eastAsia="en-GB"/>
              </w:rPr>
              <w:t>Grants awarded under this topic will be linked to the following action(s):</w:t>
            </w:r>
          </w:p>
          <w:p w:rsidR="00C75202" w:rsidRPr="00C75202" w:rsidRDefault="00C75202" w:rsidP="00C75202">
            <w:pPr>
              <w:spacing w:after="200" w:line="276" w:lineRule="auto"/>
              <w:jc w:val="both"/>
              <w:rPr>
                <w:rFonts w:ascii="Times New Roman" w:eastAsiaTheme="minorEastAsia" w:hAnsi="Times New Roman" w:cs="Arial"/>
                <w:sz w:val="24"/>
                <w:lang w:val="en-GB" w:eastAsia="en-GB"/>
              </w:rPr>
            </w:pPr>
            <w:r w:rsidRPr="00C75202">
              <w:rPr>
                <w:rFonts w:ascii="Times New Roman" w:eastAsiaTheme="minorEastAsia" w:hAnsi="Times New Roman" w:cs="Arial"/>
                <w:color w:val="000000"/>
                <w:sz w:val="24"/>
                <w:lang w:val="en-GB" w:eastAsia="en-GB"/>
              </w:rPr>
              <w:t>HORIZON-MISS-2021-CIT-02-03</w:t>
            </w:r>
          </w:p>
          <w:p w:rsidR="00C75202" w:rsidRPr="00C75202" w:rsidRDefault="00C75202" w:rsidP="00C75202">
            <w:pPr>
              <w:spacing w:after="200" w:line="276" w:lineRule="auto"/>
              <w:jc w:val="both"/>
              <w:rPr>
                <w:rFonts w:ascii="Times New Roman" w:eastAsiaTheme="minorEastAsia" w:hAnsi="Times New Roman" w:cs="Arial"/>
                <w:sz w:val="24"/>
                <w:lang w:val="en-GB" w:eastAsia="en-GB"/>
              </w:rPr>
            </w:pPr>
            <w:r w:rsidRPr="00C75202">
              <w:rPr>
                <w:rFonts w:ascii="Times New Roman" w:eastAsiaTheme="minorEastAsia" w:hAnsi="Times New Roman" w:cs="Arial"/>
                <w:color w:val="000000"/>
                <w:sz w:val="24"/>
                <w:lang w:val="en-GB" w:eastAsia="en-GB"/>
              </w:rPr>
              <w:t>Collaboration between the consortia awarded as well as with the 2Zero and CCAM Partnerships and the Cities Mission Platform</w:t>
            </w:r>
            <w:r w:rsidRPr="00C75202">
              <w:rPr>
                <w:rFonts w:ascii="Times New Roman" w:eastAsiaTheme="minorEastAsia" w:hAnsi="Times New Roman" w:cs="Arial"/>
                <w:sz w:val="24"/>
                <w:vertAlign w:val="superscript"/>
                <w:lang w:val="en-GB" w:eastAsia="en-GB"/>
              </w:rPr>
              <w:footnoteReference w:id="1"/>
            </w:r>
            <w:r w:rsidRPr="00C75202">
              <w:rPr>
                <w:rFonts w:ascii="Times New Roman" w:eastAsiaTheme="minorEastAsia" w:hAnsi="Times New Roman" w:cs="Arial"/>
                <w:color w:val="000000"/>
                <w:sz w:val="24"/>
                <w:lang w:val="en-GB" w:eastAsia="en-GB"/>
              </w:rPr>
              <w:t xml:space="preserve"> is essential and consortia must ensure that appropriate provisions for activities and resources aimed at enforcing this collaboration are included in the work plan of the proposal. The collaboration between the consortia awarded as well as with the Mission Platform must be formalised through a Memorandum of Understanding to </w:t>
            </w:r>
            <w:proofErr w:type="gramStart"/>
            <w:r w:rsidRPr="00C75202">
              <w:rPr>
                <w:rFonts w:ascii="Times New Roman" w:eastAsiaTheme="minorEastAsia" w:hAnsi="Times New Roman" w:cs="Arial"/>
                <w:color w:val="000000"/>
                <w:sz w:val="24"/>
                <w:lang w:val="en-GB" w:eastAsia="en-GB"/>
              </w:rPr>
              <w:t>be concluded</w:t>
            </w:r>
            <w:proofErr w:type="gramEnd"/>
            <w:r w:rsidRPr="00C75202">
              <w:rPr>
                <w:rFonts w:ascii="Times New Roman" w:eastAsiaTheme="minorEastAsia" w:hAnsi="Times New Roman" w:cs="Arial"/>
                <w:color w:val="000000"/>
                <w:sz w:val="24"/>
                <w:lang w:val="en-GB" w:eastAsia="en-GB"/>
              </w:rPr>
              <w:t xml:space="preserve"> as soon as possible after the projects' starting date.</w:t>
            </w:r>
          </w:p>
        </w:tc>
      </w:tr>
    </w:tbl>
    <w:p w:rsidR="00C75202" w:rsidRPr="00C75202" w:rsidRDefault="00C75202" w:rsidP="00C75202">
      <w:pPr>
        <w:spacing w:after="0" w:line="150" w:lineRule="auto"/>
        <w:jc w:val="both"/>
        <w:rPr>
          <w:rFonts w:ascii="Times New Roman" w:eastAsiaTheme="minorEastAsia" w:hAnsi="Times New Roman" w:cs="Arial"/>
          <w:sz w:val="24"/>
          <w:lang w:val="en-GB" w:eastAsia="en-GB"/>
        </w:rPr>
      </w:pPr>
    </w:p>
    <w:p w:rsidR="00C75202" w:rsidRPr="00C75202" w:rsidRDefault="00C75202" w:rsidP="00C75202">
      <w:pPr>
        <w:spacing w:after="200" w:line="276" w:lineRule="auto"/>
        <w:jc w:val="both"/>
        <w:rPr>
          <w:rFonts w:ascii="Times New Roman" w:eastAsiaTheme="minorEastAsia" w:hAnsi="Times New Roman" w:cs="Arial"/>
          <w:sz w:val="24"/>
          <w:lang w:val="en-GB" w:eastAsia="en-GB"/>
        </w:rPr>
      </w:pPr>
      <w:r w:rsidRPr="00C75202">
        <w:rPr>
          <w:rFonts w:ascii="Times New Roman" w:eastAsiaTheme="minorEastAsia" w:hAnsi="Times New Roman" w:cs="Arial"/>
          <w:sz w:val="24"/>
          <w:u w:val="single"/>
          <w:lang w:val="en-GB" w:eastAsia="en-GB"/>
        </w:rPr>
        <w:lastRenderedPageBreak/>
        <w:t>Expected Outcome</w:t>
      </w:r>
      <w:r w:rsidRPr="00C75202">
        <w:rPr>
          <w:rFonts w:ascii="Times New Roman" w:eastAsiaTheme="minorEastAsia" w:hAnsi="Times New Roman" w:cs="Arial"/>
          <w:sz w:val="24"/>
          <w:lang w:val="en-GB" w:eastAsia="en-GB"/>
        </w:rPr>
        <w:t xml:space="preserve">: </w:t>
      </w:r>
      <w:r w:rsidRPr="00C75202">
        <w:rPr>
          <w:rFonts w:ascii="Times New Roman" w:eastAsiaTheme="minorEastAsia" w:hAnsi="Times New Roman" w:cs="Arial"/>
          <w:color w:val="000000"/>
          <w:sz w:val="24"/>
          <w:lang w:val="en-GB" w:eastAsia="en-GB"/>
        </w:rPr>
        <w:t xml:space="preserve">Project results </w:t>
      </w:r>
      <w:proofErr w:type="gramStart"/>
      <w:r w:rsidRPr="00C75202">
        <w:rPr>
          <w:rFonts w:ascii="Times New Roman" w:eastAsiaTheme="minorEastAsia" w:hAnsi="Times New Roman" w:cs="Arial"/>
          <w:color w:val="000000"/>
          <w:sz w:val="24"/>
          <w:lang w:val="en-GB" w:eastAsia="en-GB"/>
        </w:rPr>
        <w:t>are expected</w:t>
      </w:r>
      <w:proofErr w:type="gramEnd"/>
      <w:r w:rsidRPr="00C75202">
        <w:rPr>
          <w:rFonts w:ascii="Times New Roman" w:eastAsiaTheme="minorEastAsia" w:hAnsi="Times New Roman" w:cs="Arial"/>
          <w:color w:val="000000"/>
          <w:sz w:val="24"/>
          <w:lang w:val="en-GB" w:eastAsia="en-GB"/>
        </w:rPr>
        <w:t xml:space="preserve"> to contribute to all of the following outcomes: </w:t>
      </w:r>
    </w:p>
    <w:p w:rsidR="00C75202" w:rsidRPr="00C75202" w:rsidRDefault="00C75202" w:rsidP="00C75202">
      <w:pPr>
        <w:numPr>
          <w:ilvl w:val="0"/>
          <w:numId w:val="1"/>
        </w:numPr>
        <w:spacing w:after="200" w:line="276" w:lineRule="auto"/>
        <w:jc w:val="both"/>
        <w:rPr>
          <w:rFonts w:ascii="Times New Roman" w:eastAsiaTheme="minorEastAsia" w:hAnsi="Times New Roman" w:cs="Arial"/>
          <w:sz w:val="24"/>
          <w:lang w:val="en-GB" w:eastAsia="en-GB"/>
        </w:rPr>
      </w:pPr>
      <w:r w:rsidRPr="00C75202">
        <w:rPr>
          <w:rFonts w:ascii="Times New Roman" w:eastAsiaTheme="minorEastAsia" w:hAnsi="Times New Roman" w:cs="Arial"/>
          <w:color w:val="000000"/>
          <w:sz w:val="24"/>
          <w:lang w:val="en-GB" w:eastAsia="en-GB"/>
        </w:rPr>
        <w:t xml:space="preserve">Mobility solutions that respond to people’s and cities’ needs, co-designed with local authorities, citizens and stakeholders, tested and implemented in cities to achieve climate neutrality by 2030. </w:t>
      </w:r>
    </w:p>
    <w:p w:rsidR="00C75202" w:rsidRPr="00C75202" w:rsidRDefault="00C75202" w:rsidP="00C75202">
      <w:pPr>
        <w:numPr>
          <w:ilvl w:val="0"/>
          <w:numId w:val="1"/>
        </w:numPr>
        <w:spacing w:after="200" w:line="276" w:lineRule="auto"/>
        <w:jc w:val="both"/>
        <w:rPr>
          <w:rFonts w:ascii="Times New Roman" w:eastAsiaTheme="minorEastAsia" w:hAnsi="Times New Roman" w:cs="Arial"/>
          <w:sz w:val="24"/>
          <w:lang w:val="en-GB" w:eastAsia="en-GB"/>
        </w:rPr>
      </w:pPr>
      <w:r w:rsidRPr="00C75202">
        <w:rPr>
          <w:rFonts w:ascii="Times New Roman" w:eastAsiaTheme="minorEastAsia" w:hAnsi="Times New Roman" w:cs="Arial"/>
          <w:color w:val="000000"/>
          <w:sz w:val="24"/>
          <w:lang w:val="en-GB" w:eastAsia="en-GB"/>
        </w:rPr>
        <w:t xml:space="preserve">Transferrable solutions for mobility of people and goods exploiting the combined potential of electrification, automation and connectivity to significantly and measurably contribute to:       </w:t>
      </w:r>
    </w:p>
    <w:p w:rsidR="00C75202" w:rsidRPr="00C75202" w:rsidRDefault="00C75202" w:rsidP="00C75202">
      <w:pPr>
        <w:numPr>
          <w:ilvl w:val="1"/>
          <w:numId w:val="1"/>
        </w:numPr>
        <w:spacing w:after="200" w:line="276" w:lineRule="auto"/>
        <w:jc w:val="both"/>
        <w:rPr>
          <w:rFonts w:ascii="Times New Roman" w:eastAsiaTheme="minorEastAsia" w:hAnsi="Times New Roman" w:cs="Arial"/>
          <w:sz w:val="24"/>
          <w:lang w:val="en-GB" w:eastAsia="en-GB"/>
        </w:rPr>
      </w:pPr>
      <w:r w:rsidRPr="00C75202">
        <w:rPr>
          <w:rFonts w:ascii="Times New Roman" w:eastAsiaTheme="minorEastAsia" w:hAnsi="Times New Roman" w:cs="Arial"/>
          <w:color w:val="000000"/>
          <w:sz w:val="24"/>
          <w:lang w:val="en-GB" w:eastAsia="en-GB"/>
        </w:rPr>
        <w:t xml:space="preserve">The Cities Mission’s objective of climate neutrality by 2030;    </w:t>
      </w:r>
    </w:p>
    <w:p w:rsidR="00C75202" w:rsidRPr="00C75202" w:rsidRDefault="00C75202" w:rsidP="00C75202">
      <w:pPr>
        <w:numPr>
          <w:ilvl w:val="1"/>
          <w:numId w:val="1"/>
        </w:numPr>
        <w:spacing w:after="200" w:line="276" w:lineRule="auto"/>
        <w:jc w:val="both"/>
        <w:rPr>
          <w:rFonts w:ascii="Times New Roman" w:eastAsiaTheme="minorEastAsia" w:hAnsi="Times New Roman" w:cs="Arial"/>
          <w:sz w:val="24"/>
          <w:lang w:val="en-GB" w:eastAsia="en-GB"/>
        </w:rPr>
      </w:pPr>
      <w:r w:rsidRPr="00C75202">
        <w:rPr>
          <w:rFonts w:ascii="Times New Roman" w:eastAsiaTheme="minorEastAsia" w:hAnsi="Times New Roman" w:cs="Arial"/>
          <w:color w:val="000000"/>
          <w:sz w:val="24"/>
          <w:lang w:val="en-GB" w:eastAsia="en-GB"/>
        </w:rPr>
        <w:t xml:space="preserve">Reduction of CO2 emissions supporting the 55% reduction goal for 2030;    </w:t>
      </w:r>
    </w:p>
    <w:p w:rsidR="00C75202" w:rsidRPr="00C75202" w:rsidRDefault="00C75202" w:rsidP="00C75202">
      <w:pPr>
        <w:numPr>
          <w:ilvl w:val="1"/>
          <w:numId w:val="1"/>
        </w:numPr>
        <w:spacing w:after="200" w:line="276" w:lineRule="auto"/>
        <w:jc w:val="both"/>
        <w:rPr>
          <w:rFonts w:ascii="Times New Roman" w:eastAsiaTheme="minorEastAsia" w:hAnsi="Times New Roman" w:cs="Arial"/>
          <w:sz w:val="24"/>
          <w:lang w:val="en-GB" w:eastAsia="en-GB"/>
        </w:rPr>
      </w:pPr>
      <w:r w:rsidRPr="00C75202">
        <w:rPr>
          <w:rFonts w:ascii="Times New Roman" w:eastAsiaTheme="minorEastAsia" w:hAnsi="Times New Roman" w:cs="Arial"/>
          <w:color w:val="000000"/>
          <w:sz w:val="24"/>
          <w:lang w:val="en-GB" w:eastAsia="en-GB"/>
        </w:rPr>
        <w:t xml:space="preserve">Lower energy demand;    </w:t>
      </w:r>
    </w:p>
    <w:p w:rsidR="00C75202" w:rsidRPr="00C75202" w:rsidRDefault="00C75202" w:rsidP="00C75202">
      <w:pPr>
        <w:numPr>
          <w:ilvl w:val="1"/>
          <w:numId w:val="1"/>
        </w:numPr>
        <w:spacing w:after="200" w:line="276" w:lineRule="auto"/>
        <w:jc w:val="both"/>
        <w:rPr>
          <w:rFonts w:ascii="Times New Roman" w:eastAsiaTheme="minorEastAsia" w:hAnsi="Times New Roman" w:cs="Arial"/>
          <w:sz w:val="24"/>
          <w:lang w:val="en-GB" w:eastAsia="en-GB"/>
        </w:rPr>
      </w:pPr>
      <w:r w:rsidRPr="00C75202">
        <w:rPr>
          <w:rFonts w:ascii="Times New Roman" w:eastAsiaTheme="minorEastAsia" w:hAnsi="Times New Roman" w:cs="Arial"/>
          <w:color w:val="000000"/>
          <w:sz w:val="24"/>
          <w:lang w:val="en-GB" w:eastAsia="en-GB"/>
        </w:rPr>
        <w:t xml:space="preserve">Improved air quality, less noise;    </w:t>
      </w:r>
    </w:p>
    <w:p w:rsidR="00C75202" w:rsidRPr="00C75202" w:rsidRDefault="00C75202" w:rsidP="00C75202">
      <w:pPr>
        <w:numPr>
          <w:ilvl w:val="1"/>
          <w:numId w:val="1"/>
        </w:numPr>
        <w:spacing w:after="200" w:line="276" w:lineRule="auto"/>
        <w:jc w:val="both"/>
        <w:rPr>
          <w:rFonts w:ascii="Times New Roman" w:eastAsiaTheme="minorEastAsia" w:hAnsi="Times New Roman" w:cs="Arial"/>
          <w:sz w:val="24"/>
          <w:lang w:val="en-GB" w:eastAsia="en-GB"/>
        </w:rPr>
      </w:pPr>
      <w:r w:rsidRPr="00C75202">
        <w:rPr>
          <w:rFonts w:ascii="Times New Roman" w:eastAsiaTheme="minorEastAsia" w:hAnsi="Times New Roman" w:cs="Arial"/>
          <w:color w:val="000000"/>
          <w:sz w:val="24"/>
          <w:lang w:val="en-GB" w:eastAsia="en-GB"/>
        </w:rPr>
        <w:t xml:space="preserve">Reduced congestion, more reliable, predictive travel times and more efficient transport operations;    </w:t>
      </w:r>
    </w:p>
    <w:p w:rsidR="00C75202" w:rsidRPr="00C75202" w:rsidRDefault="00C75202" w:rsidP="00C75202">
      <w:pPr>
        <w:numPr>
          <w:ilvl w:val="1"/>
          <w:numId w:val="1"/>
        </w:numPr>
        <w:spacing w:after="200" w:line="276" w:lineRule="auto"/>
        <w:jc w:val="both"/>
        <w:rPr>
          <w:rFonts w:ascii="Times New Roman" w:eastAsiaTheme="minorEastAsia" w:hAnsi="Times New Roman" w:cs="Arial"/>
          <w:sz w:val="24"/>
          <w:lang w:val="en-GB" w:eastAsia="en-GB"/>
        </w:rPr>
      </w:pPr>
      <w:r w:rsidRPr="00C75202">
        <w:rPr>
          <w:rFonts w:ascii="Times New Roman" w:eastAsiaTheme="minorEastAsia" w:hAnsi="Times New Roman" w:cs="Arial"/>
          <w:color w:val="000000"/>
          <w:sz w:val="24"/>
          <w:lang w:val="en-GB" w:eastAsia="en-GB"/>
        </w:rPr>
        <w:t xml:space="preserve">More effective use of urban space also considering the other transport modes and multimodal hubs;    </w:t>
      </w:r>
    </w:p>
    <w:p w:rsidR="00C75202" w:rsidRPr="00C75202" w:rsidRDefault="00C75202" w:rsidP="00C75202">
      <w:pPr>
        <w:numPr>
          <w:ilvl w:val="1"/>
          <w:numId w:val="1"/>
        </w:numPr>
        <w:spacing w:after="200" w:line="276" w:lineRule="auto"/>
        <w:jc w:val="both"/>
        <w:rPr>
          <w:rFonts w:ascii="Times New Roman" w:eastAsiaTheme="minorEastAsia" w:hAnsi="Times New Roman" w:cs="Arial"/>
          <w:sz w:val="24"/>
          <w:lang w:val="en-GB" w:eastAsia="en-GB"/>
        </w:rPr>
      </w:pPr>
      <w:r w:rsidRPr="00C75202">
        <w:rPr>
          <w:rFonts w:ascii="Times New Roman" w:eastAsiaTheme="minorEastAsia" w:hAnsi="Times New Roman" w:cs="Arial"/>
          <w:color w:val="000000"/>
          <w:sz w:val="24"/>
          <w:lang w:val="en-GB" w:eastAsia="en-GB"/>
        </w:rPr>
        <w:t xml:space="preserve">Improved safety particularly for vulnerable road users;    </w:t>
      </w:r>
    </w:p>
    <w:p w:rsidR="00C75202" w:rsidRPr="00C75202" w:rsidRDefault="00C75202" w:rsidP="00C75202">
      <w:pPr>
        <w:numPr>
          <w:ilvl w:val="1"/>
          <w:numId w:val="1"/>
        </w:numPr>
        <w:spacing w:after="200" w:line="276" w:lineRule="auto"/>
        <w:jc w:val="both"/>
        <w:rPr>
          <w:rFonts w:ascii="Times New Roman" w:eastAsiaTheme="minorEastAsia" w:hAnsi="Times New Roman" w:cs="Arial"/>
          <w:sz w:val="24"/>
          <w:lang w:val="en-GB" w:eastAsia="en-GB"/>
        </w:rPr>
      </w:pPr>
      <w:r w:rsidRPr="00C75202">
        <w:rPr>
          <w:rFonts w:ascii="Times New Roman" w:eastAsiaTheme="minorEastAsia" w:hAnsi="Times New Roman" w:cs="Arial"/>
          <w:color w:val="000000"/>
          <w:sz w:val="24"/>
          <w:lang w:val="en-GB" w:eastAsia="en-GB"/>
        </w:rPr>
        <w:t xml:space="preserve">Improved inclusiveness, especially by facilitating equitable and affordable access to mobility for all users, in particular for people with reduced mobility.   </w:t>
      </w:r>
    </w:p>
    <w:p w:rsidR="00C75202" w:rsidRPr="00C75202" w:rsidRDefault="00C75202" w:rsidP="00C75202">
      <w:pPr>
        <w:numPr>
          <w:ilvl w:val="0"/>
          <w:numId w:val="1"/>
        </w:numPr>
        <w:spacing w:after="200" w:line="276" w:lineRule="auto"/>
        <w:jc w:val="both"/>
        <w:rPr>
          <w:rFonts w:ascii="Times New Roman" w:eastAsiaTheme="minorEastAsia" w:hAnsi="Times New Roman" w:cs="Arial"/>
          <w:sz w:val="24"/>
          <w:lang w:val="en-GB" w:eastAsia="en-GB"/>
        </w:rPr>
      </w:pPr>
      <w:r w:rsidRPr="00C75202">
        <w:rPr>
          <w:rFonts w:ascii="Times New Roman" w:eastAsiaTheme="minorEastAsia" w:hAnsi="Times New Roman" w:cs="Arial"/>
          <w:color w:val="000000"/>
          <w:sz w:val="24"/>
          <w:lang w:val="en-GB" w:eastAsia="en-GB"/>
        </w:rPr>
        <w:t xml:space="preserve">Economically viable, modular and adaptable solutions that are transferrable among cities committed to achieving climate neutrality by 2030. </w:t>
      </w:r>
    </w:p>
    <w:p w:rsidR="00C75202" w:rsidRPr="00C75202" w:rsidRDefault="00C75202" w:rsidP="00C75202">
      <w:pPr>
        <w:numPr>
          <w:ilvl w:val="0"/>
          <w:numId w:val="1"/>
        </w:numPr>
        <w:spacing w:after="200" w:line="276" w:lineRule="auto"/>
        <w:jc w:val="both"/>
        <w:rPr>
          <w:rFonts w:ascii="Times New Roman" w:eastAsiaTheme="minorEastAsia" w:hAnsi="Times New Roman" w:cs="Arial"/>
          <w:sz w:val="24"/>
          <w:lang w:val="en-GB" w:eastAsia="en-GB"/>
        </w:rPr>
      </w:pPr>
      <w:r w:rsidRPr="00C75202">
        <w:rPr>
          <w:rFonts w:ascii="Times New Roman" w:eastAsiaTheme="minorEastAsia" w:hAnsi="Times New Roman" w:cs="Arial"/>
          <w:color w:val="000000"/>
          <w:sz w:val="24"/>
          <w:lang w:val="en-GB" w:eastAsia="en-GB"/>
        </w:rPr>
        <w:t xml:space="preserve">Capacity built among local authorities, users and mobility systems providers to accelerate the take-up of shared, smart and zero emission solutions and to implement their monitoring and evaluation. </w:t>
      </w:r>
    </w:p>
    <w:p w:rsidR="00C75202" w:rsidRPr="00C75202" w:rsidRDefault="00C75202" w:rsidP="00C75202">
      <w:pPr>
        <w:numPr>
          <w:ilvl w:val="0"/>
          <w:numId w:val="1"/>
        </w:numPr>
        <w:spacing w:after="200" w:line="276" w:lineRule="auto"/>
        <w:jc w:val="both"/>
        <w:rPr>
          <w:rFonts w:ascii="Times New Roman" w:eastAsiaTheme="minorEastAsia" w:hAnsi="Times New Roman" w:cs="Arial"/>
          <w:sz w:val="24"/>
          <w:lang w:val="en-GB" w:eastAsia="en-GB"/>
        </w:rPr>
      </w:pPr>
      <w:r w:rsidRPr="00C75202">
        <w:rPr>
          <w:rFonts w:ascii="Times New Roman" w:eastAsiaTheme="minorEastAsia" w:hAnsi="Times New Roman" w:cs="Arial"/>
          <w:color w:val="000000"/>
          <w:sz w:val="24"/>
          <w:lang w:val="en-GB" w:eastAsia="en-GB"/>
        </w:rPr>
        <w:t xml:space="preserve">Implementation plans for local and regional transport authorities to replicate the roll-out of innovative smart mobility solutions and related infrastructure (in particular for charging and/or connectivity) in cities beyond those involved in the project. </w:t>
      </w:r>
    </w:p>
    <w:p w:rsidR="00C75202" w:rsidRPr="00C75202" w:rsidRDefault="00C75202" w:rsidP="00C75202">
      <w:pPr>
        <w:numPr>
          <w:ilvl w:val="0"/>
          <w:numId w:val="1"/>
        </w:numPr>
        <w:spacing w:after="200" w:line="276" w:lineRule="auto"/>
        <w:jc w:val="both"/>
        <w:rPr>
          <w:rFonts w:ascii="Times New Roman" w:eastAsiaTheme="minorEastAsia" w:hAnsi="Times New Roman" w:cs="Arial"/>
          <w:sz w:val="24"/>
          <w:lang w:val="en-GB" w:eastAsia="en-GB"/>
        </w:rPr>
      </w:pPr>
      <w:r w:rsidRPr="00C75202">
        <w:rPr>
          <w:rFonts w:ascii="Times New Roman" w:eastAsiaTheme="minorEastAsia" w:hAnsi="Times New Roman" w:cs="Arial"/>
          <w:color w:val="000000"/>
          <w:sz w:val="24"/>
          <w:lang w:val="en-GB" w:eastAsia="en-GB"/>
        </w:rPr>
        <w:t xml:space="preserve">Contribution to updates of urban and transport policies as well as relevant strategic research and innovation agendas (SRIA), particularly of the 2Zero and CCAM partnerships.  </w:t>
      </w:r>
    </w:p>
    <w:p w:rsidR="00C75202" w:rsidRPr="00C75202" w:rsidRDefault="00C75202" w:rsidP="00C75202">
      <w:pPr>
        <w:spacing w:after="200" w:line="276" w:lineRule="auto"/>
        <w:jc w:val="both"/>
        <w:rPr>
          <w:rFonts w:ascii="Times New Roman" w:eastAsiaTheme="minorEastAsia" w:hAnsi="Times New Roman" w:cs="Arial"/>
          <w:sz w:val="24"/>
          <w:lang w:val="en-GB" w:eastAsia="en-GB"/>
        </w:rPr>
      </w:pPr>
      <w:r w:rsidRPr="00C75202">
        <w:rPr>
          <w:rFonts w:ascii="Times New Roman" w:eastAsiaTheme="minorEastAsia" w:hAnsi="Times New Roman" w:cs="Arial"/>
          <w:sz w:val="24"/>
          <w:u w:val="single"/>
          <w:lang w:val="en-GB" w:eastAsia="en-GB"/>
        </w:rPr>
        <w:t>Scope</w:t>
      </w:r>
      <w:r w:rsidRPr="00C75202">
        <w:rPr>
          <w:rFonts w:ascii="Times New Roman" w:eastAsiaTheme="minorEastAsia" w:hAnsi="Times New Roman" w:cs="Arial"/>
          <w:sz w:val="24"/>
          <w:lang w:val="en-GB" w:eastAsia="en-GB"/>
        </w:rPr>
        <w:t xml:space="preserve">: </w:t>
      </w:r>
      <w:r w:rsidRPr="00C75202">
        <w:rPr>
          <w:rFonts w:ascii="Times New Roman" w:eastAsiaTheme="minorEastAsia" w:hAnsi="Times New Roman" w:cs="Arial"/>
          <w:color w:val="000000"/>
          <w:sz w:val="24"/>
          <w:lang w:val="en-GB" w:eastAsia="en-GB"/>
        </w:rPr>
        <w:t xml:space="preserve">Urban mobility is a key sector that cities need to address for accelerating their transition to climate neutrality: citizens, freight forwarders, urban planners, transport operators as well as technology providers should jointly exploit the combined potentials of electric, automated and connected vehicles as well as integrated and shared people mobility and freight transport in their planning and actions. This requires a mutual understanding and alignment of the </w:t>
      </w:r>
      <w:r w:rsidRPr="00C75202">
        <w:rPr>
          <w:rFonts w:ascii="Times New Roman" w:eastAsiaTheme="minorEastAsia" w:hAnsi="Times New Roman" w:cs="Arial"/>
          <w:color w:val="000000"/>
          <w:sz w:val="24"/>
          <w:lang w:val="en-GB" w:eastAsia="en-GB"/>
        </w:rPr>
        <w:lastRenderedPageBreak/>
        <w:t>opportunities of technical solutions from the CCAM and 2Zero partnerships and of needs identified by users and cities striving for the Mission target of climate neutrality.</w:t>
      </w:r>
    </w:p>
    <w:p w:rsidR="00C75202" w:rsidRPr="00C75202" w:rsidRDefault="00C75202" w:rsidP="00C75202">
      <w:pPr>
        <w:spacing w:after="200" w:line="276" w:lineRule="auto"/>
        <w:jc w:val="both"/>
        <w:rPr>
          <w:rFonts w:ascii="Times New Roman" w:eastAsiaTheme="minorEastAsia" w:hAnsi="Times New Roman" w:cs="Arial"/>
          <w:sz w:val="24"/>
          <w:lang w:val="en-GB" w:eastAsia="en-GB"/>
        </w:rPr>
      </w:pPr>
      <w:r w:rsidRPr="00C75202">
        <w:rPr>
          <w:rFonts w:ascii="Times New Roman" w:eastAsiaTheme="minorEastAsia" w:hAnsi="Times New Roman" w:cs="Arial"/>
          <w:color w:val="000000"/>
          <w:sz w:val="24"/>
          <w:lang w:val="en-GB" w:eastAsia="en-GB"/>
        </w:rPr>
        <w:t xml:space="preserve">Proposals should include co-designed innovative passenger mobility and freight transport concepts which are agreed between technology providers and cities, in cooperation with end users, citizens and other stakeholders (for example visitors) to optimise the performance, ease of use and to maximise uptake. They should then be tested and demonstrated in real environments and use cases before </w:t>
      </w:r>
      <w:proofErr w:type="gramStart"/>
      <w:r w:rsidRPr="00C75202">
        <w:rPr>
          <w:rFonts w:ascii="Times New Roman" w:eastAsiaTheme="minorEastAsia" w:hAnsi="Times New Roman" w:cs="Arial"/>
          <w:color w:val="000000"/>
          <w:sz w:val="24"/>
          <w:lang w:val="en-GB" w:eastAsia="en-GB"/>
        </w:rPr>
        <w:t>being replicated</w:t>
      </w:r>
      <w:proofErr w:type="gramEnd"/>
      <w:r w:rsidRPr="00C75202">
        <w:rPr>
          <w:rFonts w:ascii="Times New Roman" w:eastAsiaTheme="minorEastAsia" w:hAnsi="Times New Roman" w:cs="Arial"/>
          <w:color w:val="000000"/>
          <w:sz w:val="24"/>
          <w:lang w:val="en-GB" w:eastAsia="en-GB"/>
        </w:rPr>
        <w:t xml:space="preserve">. They should complement current public transport and freight transport services as well as active mobility and </w:t>
      </w:r>
      <w:proofErr w:type="spellStart"/>
      <w:proofErr w:type="gramStart"/>
      <w:r w:rsidRPr="00C75202">
        <w:rPr>
          <w:rFonts w:ascii="Times New Roman" w:eastAsiaTheme="minorEastAsia" w:hAnsi="Times New Roman" w:cs="Arial"/>
          <w:color w:val="000000"/>
          <w:sz w:val="24"/>
          <w:lang w:val="en-GB" w:eastAsia="en-GB"/>
        </w:rPr>
        <w:t>micromobility</w:t>
      </w:r>
      <w:proofErr w:type="spellEnd"/>
      <w:r w:rsidRPr="00C75202">
        <w:rPr>
          <w:rFonts w:ascii="Times New Roman" w:eastAsiaTheme="minorEastAsia" w:hAnsi="Times New Roman" w:cs="Arial"/>
          <w:color w:val="000000"/>
          <w:sz w:val="24"/>
          <w:lang w:val="en-GB" w:eastAsia="en-GB"/>
        </w:rPr>
        <w:t>, also</w:t>
      </w:r>
      <w:proofErr w:type="gramEnd"/>
      <w:r w:rsidRPr="00C75202">
        <w:rPr>
          <w:rFonts w:ascii="Times New Roman" w:eastAsiaTheme="minorEastAsia" w:hAnsi="Times New Roman" w:cs="Arial"/>
          <w:color w:val="000000"/>
          <w:sz w:val="24"/>
          <w:lang w:val="en-GB" w:eastAsia="en-GB"/>
        </w:rPr>
        <w:t xml:space="preserve"> with modular and interoperable last mile choices, while being scalable for the roll out, adaptability and co-implementation for different types of cities. At the same time, they should help to identify new challenges, e.g. regarding flexibility, privacy and resilience, in order to set requirements for the further improvement of technologies.</w:t>
      </w:r>
    </w:p>
    <w:p w:rsidR="00C75202" w:rsidRPr="00C75202" w:rsidRDefault="00C75202" w:rsidP="00C75202">
      <w:pPr>
        <w:spacing w:after="200" w:line="276" w:lineRule="auto"/>
        <w:jc w:val="both"/>
        <w:rPr>
          <w:rFonts w:ascii="Times New Roman" w:eastAsiaTheme="minorEastAsia" w:hAnsi="Times New Roman" w:cs="Arial"/>
          <w:sz w:val="24"/>
          <w:lang w:val="en-GB" w:eastAsia="en-GB"/>
        </w:rPr>
      </w:pPr>
      <w:r w:rsidRPr="00C75202">
        <w:rPr>
          <w:rFonts w:ascii="Times New Roman" w:eastAsiaTheme="minorEastAsia" w:hAnsi="Times New Roman" w:cs="Arial"/>
          <w:color w:val="000000"/>
          <w:sz w:val="24"/>
          <w:lang w:val="en-GB" w:eastAsia="en-GB"/>
        </w:rPr>
        <w:t xml:space="preserve">Proposals </w:t>
      </w:r>
      <w:proofErr w:type="gramStart"/>
      <w:r w:rsidRPr="00C75202">
        <w:rPr>
          <w:rFonts w:ascii="Times New Roman" w:eastAsiaTheme="minorEastAsia" w:hAnsi="Times New Roman" w:cs="Arial"/>
          <w:color w:val="000000"/>
          <w:sz w:val="24"/>
          <w:lang w:val="en-GB" w:eastAsia="en-GB"/>
        </w:rPr>
        <w:t>are expected</w:t>
      </w:r>
      <w:proofErr w:type="gramEnd"/>
      <w:r w:rsidRPr="00C75202">
        <w:rPr>
          <w:rFonts w:ascii="Times New Roman" w:eastAsiaTheme="minorEastAsia" w:hAnsi="Times New Roman" w:cs="Arial"/>
          <w:color w:val="000000"/>
          <w:sz w:val="24"/>
          <w:lang w:val="en-GB" w:eastAsia="en-GB"/>
        </w:rPr>
        <w:t xml:space="preserve"> to develop, test and demonstrate innovative solutions for mobility of people and freight exploiting the combined potential of electrification, automation and connectivity. Proposals must consider and explore the opportunities for technology transfer and synergy potentials with the respective other domain to fully cover passenger and goods mobility, although a primary focus on either people or goods mobility is possible. Solutions should be based on existing technologies and should satisfy cities’ and users’ needs, targeting implementation of pilot cases at city level to ensure feasibility, buy-in, acceptance and thus a seamless integration of mobility solutions and infrastructure in a citywide transport system.</w:t>
      </w:r>
    </w:p>
    <w:p w:rsidR="00C75202" w:rsidRPr="00C75202" w:rsidRDefault="00C75202" w:rsidP="00C75202">
      <w:pPr>
        <w:spacing w:after="200" w:line="276" w:lineRule="auto"/>
        <w:jc w:val="both"/>
        <w:rPr>
          <w:rFonts w:ascii="Times New Roman" w:eastAsiaTheme="minorEastAsia" w:hAnsi="Times New Roman" w:cs="Arial"/>
          <w:sz w:val="24"/>
          <w:lang w:val="en-GB" w:eastAsia="en-GB"/>
        </w:rPr>
      </w:pPr>
      <w:r w:rsidRPr="00C75202">
        <w:rPr>
          <w:rFonts w:ascii="Times New Roman" w:eastAsiaTheme="minorEastAsia" w:hAnsi="Times New Roman" w:cs="Arial"/>
          <w:color w:val="000000"/>
          <w:sz w:val="24"/>
          <w:lang w:val="en-GB" w:eastAsia="en-GB"/>
        </w:rPr>
        <w:t xml:space="preserve">All the following aspects </w:t>
      </w:r>
      <w:proofErr w:type="gramStart"/>
      <w:r w:rsidRPr="00C75202">
        <w:rPr>
          <w:rFonts w:ascii="Times New Roman" w:eastAsiaTheme="minorEastAsia" w:hAnsi="Times New Roman" w:cs="Arial"/>
          <w:color w:val="000000"/>
          <w:sz w:val="24"/>
          <w:lang w:val="en-GB" w:eastAsia="en-GB"/>
        </w:rPr>
        <w:t>should be addressed</w:t>
      </w:r>
      <w:proofErr w:type="gramEnd"/>
      <w:r w:rsidRPr="00C75202">
        <w:rPr>
          <w:rFonts w:ascii="Times New Roman" w:eastAsiaTheme="minorEastAsia" w:hAnsi="Times New Roman" w:cs="Arial"/>
          <w:color w:val="000000"/>
          <w:sz w:val="24"/>
          <w:lang w:val="en-GB" w:eastAsia="en-GB"/>
        </w:rPr>
        <w:t xml:space="preserve"> by the proposals:</w:t>
      </w:r>
    </w:p>
    <w:p w:rsidR="00C75202" w:rsidRPr="00C75202" w:rsidRDefault="00C75202" w:rsidP="00C75202">
      <w:pPr>
        <w:numPr>
          <w:ilvl w:val="0"/>
          <w:numId w:val="2"/>
        </w:numPr>
        <w:spacing w:after="200" w:line="276" w:lineRule="auto"/>
        <w:jc w:val="both"/>
        <w:rPr>
          <w:rFonts w:ascii="Times New Roman" w:eastAsiaTheme="minorEastAsia" w:hAnsi="Times New Roman" w:cs="Arial"/>
          <w:sz w:val="24"/>
          <w:lang w:val="en-GB" w:eastAsia="en-GB"/>
        </w:rPr>
      </w:pPr>
      <w:r w:rsidRPr="00C75202">
        <w:rPr>
          <w:rFonts w:ascii="Times New Roman" w:eastAsiaTheme="minorEastAsia" w:hAnsi="Times New Roman" w:cs="Arial"/>
          <w:color w:val="000000"/>
          <w:sz w:val="24"/>
          <w:lang w:val="en-GB" w:eastAsia="en-GB"/>
        </w:rPr>
        <w:t>Establish a co-design process between local public authorities, city planners, end users (for example inhabitants, visitors, commuters) and automated and zero-emission mobility systems providers to ensure a user-centric and seamless integration of solutions in existing ecosystems.</w:t>
      </w:r>
    </w:p>
    <w:p w:rsidR="00C75202" w:rsidRPr="00C75202" w:rsidRDefault="00C75202" w:rsidP="00C75202">
      <w:pPr>
        <w:numPr>
          <w:ilvl w:val="0"/>
          <w:numId w:val="2"/>
        </w:numPr>
        <w:spacing w:after="200" w:line="276" w:lineRule="auto"/>
        <w:jc w:val="both"/>
        <w:rPr>
          <w:rFonts w:ascii="Times New Roman" w:eastAsiaTheme="minorEastAsia" w:hAnsi="Times New Roman" w:cs="Arial"/>
          <w:sz w:val="24"/>
          <w:lang w:val="en-GB" w:eastAsia="en-GB"/>
        </w:rPr>
      </w:pPr>
      <w:r w:rsidRPr="00C75202">
        <w:rPr>
          <w:rFonts w:ascii="Times New Roman" w:eastAsiaTheme="minorEastAsia" w:hAnsi="Times New Roman" w:cs="Arial"/>
          <w:color w:val="000000"/>
          <w:sz w:val="24"/>
          <w:lang w:val="en-GB" w:eastAsia="en-GB"/>
        </w:rPr>
        <w:t xml:space="preserve">Build upon the results of recent collaborative research on, for example, power grid integration, charging infrastructure, vehicle connectivity, automation or smart fleet, road traffic and energy management, safety of vulnerable road users, </w:t>
      </w:r>
      <w:proofErr w:type="gramStart"/>
      <w:r w:rsidRPr="00C75202">
        <w:rPr>
          <w:rFonts w:ascii="Times New Roman" w:eastAsiaTheme="minorEastAsia" w:hAnsi="Times New Roman" w:cs="Arial"/>
          <w:color w:val="000000"/>
          <w:sz w:val="24"/>
          <w:lang w:val="en-GB" w:eastAsia="en-GB"/>
        </w:rPr>
        <w:t>and also</w:t>
      </w:r>
      <w:proofErr w:type="gramEnd"/>
      <w:r w:rsidRPr="00C75202">
        <w:rPr>
          <w:rFonts w:ascii="Times New Roman" w:eastAsiaTheme="minorEastAsia" w:hAnsi="Times New Roman" w:cs="Arial"/>
          <w:color w:val="000000"/>
          <w:sz w:val="24"/>
          <w:lang w:val="en-GB" w:eastAsia="en-GB"/>
        </w:rPr>
        <w:t xml:space="preserve"> build upon relevant experience of cities and partnerships.</w:t>
      </w:r>
    </w:p>
    <w:p w:rsidR="00C75202" w:rsidRPr="00C75202" w:rsidRDefault="00C75202" w:rsidP="00C75202">
      <w:pPr>
        <w:numPr>
          <w:ilvl w:val="0"/>
          <w:numId w:val="2"/>
        </w:numPr>
        <w:spacing w:after="200" w:line="276" w:lineRule="auto"/>
        <w:jc w:val="both"/>
        <w:rPr>
          <w:rFonts w:ascii="Times New Roman" w:eastAsiaTheme="minorEastAsia" w:hAnsi="Times New Roman" w:cs="Arial"/>
          <w:sz w:val="24"/>
          <w:lang w:val="en-GB" w:eastAsia="en-GB"/>
        </w:rPr>
      </w:pPr>
      <w:r w:rsidRPr="00C75202">
        <w:rPr>
          <w:rFonts w:ascii="Times New Roman" w:eastAsiaTheme="minorEastAsia" w:hAnsi="Times New Roman" w:cs="Arial"/>
          <w:color w:val="000000"/>
          <w:sz w:val="24"/>
          <w:lang w:val="en-GB" w:eastAsia="en-GB"/>
        </w:rPr>
        <w:t>Demonstrate integrated and shared, automated and zero-emission solutions and services for people mobility and freight transport. Where needed and duly justified, design of vehicles and functions and the development of specific infrastructures for energy and joint and harmonized data management</w:t>
      </w:r>
      <w:r w:rsidRPr="00C75202">
        <w:rPr>
          <w:rFonts w:ascii="Times New Roman" w:eastAsiaTheme="minorEastAsia" w:hAnsi="Times New Roman" w:cs="Arial"/>
          <w:sz w:val="24"/>
          <w:vertAlign w:val="superscript"/>
          <w:lang w:val="en-GB" w:eastAsia="en-GB"/>
        </w:rPr>
        <w:footnoteReference w:id="2"/>
      </w:r>
      <w:r w:rsidRPr="00C75202">
        <w:rPr>
          <w:rFonts w:ascii="Times New Roman" w:eastAsiaTheme="minorEastAsia" w:hAnsi="Times New Roman" w:cs="Arial"/>
          <w:color w:val="000000"/>
          <w:sz w:val="24"/>
          <w:lang w:val="en-GB" w:eastAsia="en-GB"/>
        </w:rPr>
        <w:t xml:space="preserve"> to extend and optimise their use can be included.</w:t>
      </w:r>
    </w:p>
    <w:p w:rsidR="00C75202" w:rsidRPr="00C75202" w:rsidRDefault="00C75202" w:rsidP="00C75202">
      <w:pPr>
        <w:numPr>
          <w:ilvl w:val="0"/>
          <w:numId w:val="2"/>
        </w:numPr>
        <w:spacing w:after="200" w:line="276" w:lineRule="auto"/>
        <w:jc w:val="both"/>
        <w:rPr>
          <w:rFonts w:ascii="Times New Roman" w:eastAsiaTheme="minorEastAsia" w:hAnsi="Times New Roman" w:cs="Arial"/>
          <w:sz w:val="24"/>
          <w:lang w:val="en-GB" w:eastAsia="en-GB"/>
        </w:rPr>
      </w:pPr>
      <w:r w:rsidRPr="00C75202">
        <w:rPr>
          <w:rFonts w:ascii="Times New Roman" w:eastAsiaTheme="minorEastAsia" w:hAnsi="Times New Roman" w:cs="Arial"/>
          <w:color w:val="000000"/>
          <w:sz w:val="24"/>
          <w:lang w:val="en-GB" w:eastAsia="en-GB"/>
        </w:rPr>
        <w:t>Develop open while resilient systems and replicable solutions that can be scaled-up within a city environment and flexibly adapted to current and evolving needs and use cases in the context of Sustainable Urban Mobility Plans (SUMP). Mobility services to and from sub-</w:t>
      </w:r>
      <w:r w:rsidRPr="00C75202">
        <w:rPr>
          <w:rFonts w:ascii="Times New Roman" w:eastAsiaTheme="minorEastAsia" w:hAnsi="Times New Roman" w:cs="Arial"/>
          <w:color w:val="000000"/>
          <w:sz w:val="24"/>
          <w:lang w:val="en-GB" w:eastAsia="en-GB"/>
        </w:rPr>
        <w:lastRenderedPageBreak/>
        <w:t xml:space="preserve">urban areas should be included in proposed solutions, </w:t>
      </w:r>
      <w:proofErr w:type="gramStart"/>
      <w:r w:rsidRPr="00C75202">
        <w:rPr>
          <w:rFonts w:ascii="Times New Roman" w:eastAsiaTheme="minorEastAsia" w:hAnsi="Times New Roman" w:cs="Arial"/>
          <w:color w:val="000000"/>
          <w:sz w:val="24"/>
          <w:lang w:val="en-GB" w:eastAsia="en-GB"/>
        </w:rPr>
        <w:t>so as to</w:t>
      </w:r>
      <w:proofErr w:type="gramEnd"/>
      <w:r w:rsidRPr="00C75202">
        <w:rPr>
          <w:rFonts w:ascii="Times New Roman" w:eastAsiaTheme="minorEastAsia" w:hAnsi="Times New Roman" w:cs="Arial"/>
          <w:color w:val="000000"/>
          <w:sz w:val="24"/>
          <w:lang w:val="en-GB" w:eastAsia="en-GB"/>
        </w:rPr>
        <w:t xml:space="preserve"> widen the pool of possible users of these solutions, services and systems.</w:t>
      </w:r>
    </w:p>
    <w:p w:rsidR="00C75202" w:rsidRPr="00C75202" w:rsidRDefault="00C75202" w:rsidP="00C75202">
      <w:pPr>
        <w:numPr>
          <w:ilvl w:val="0"/>
          <w:numId w:val="2"/>
        </w:numPr>
        <w:spacing w:after="200" w:line="276" w:lineRule="auto"/>
        <w:jc w:val="both"/>
        <w:rPr>
          <w:rFonts w:ascii="Times New Roman" w:eastAsiaTheme="minorEastAsia" w:hAnsi="Times New Roman" w:cs="Arial"/>
          <w:sz w:val="24"/>
          <w:lang w:val="en-GB" w:eastAsia="en-GB"/>
        </w:rPr>
      </w:pPr>
      <w:r w:rsidRPr="00C75202">
        <w:rPr>
          <w:rFonts w:ascii="Times New Roman" w:eastAsiaTheme="minorEastAsia" w:hAnsi="Times New Roman" w:cs="Arial"/>
          <w:color w:val="000000"/>
          <w:sz w:val="24"/>
          <w:lang w:val="en-GB" w:eastAsia="en-GB"/>
        </w:rPr>
        <w:t xml:space="preserve">Co-design implementation plans for local and regional transport authorities to </w:t>
      </w:r>
      <w:proofErr w:type="gramStart"/>
      <w:r w:rsidRPr="00C75202">
        <w:rPr>
          <w:rFonts w:ascii="Times New Roman" w:eastAsiaTheme="minorEastAsia" w:hAnsi="Times New Roman" w:cs="Arial"/>
          <w:color w:val="000000"/>
          <w:sz w:val="24"/>
          <w:lang w:val="en-GB" w:eastAsia="en-GB"/>
        </w:rPr>
        <w:t>roll-out</w:t>
      </w:r>
      <w:proofErr w:type="gramEnd"/>
      <w:r w:rsidRPr="00C75202">
        <w:rPr>
          <w:rFonts w:ascii="Times New Roman" w:eastAsiaTheme="minorEastAsia" w:hAnsi="Times New Roman" w:cs="Arial"/>
          <w:color w:val="000000"/>
          <w:sz w:val="24"/>
          <w:lang w:val="en-GB" w:eastAsia="en-GB"/>
        </w:rPr>
        <w:t xml:space="preserve"> innovative smart mobility solutions and related infrastructure (in particular for charging and connectivity) and to lower energy demand.</w:t>
      </w:r>
    </w:p>
    <w:p w:rsidR="00C75202" w:rsidRPr="00C75202" w:rsidRDefault="00C75202" w:rsidP="00C75202">
      <w:pPr>
        <w:numPr>
          <w:ilvl w:val="0"/>
          <w:numId w:val="2"/>
        </w:numPr>
        <w:spacing w:after="200" w:line="276" w:lineRule="auto"/>
        <w:jc w:val="both"/>
        <w:rPr>
          <w:rFonts w:ascii="Times New Roman" w:eastAsiaTheme="minorEastAsia" w:hAnsi="Times New Roman" w:cs="Arial"/>
          <w:sz w:val="24"/>
          <w:lang w:val="en-GB" w:eastAsia="en-GB"/>
        </w:rPr>
      </w:pPr>
      <w:r w:rsidRPr="00C75202">
        <w:rPr>
          <w:rFonts w:ascii="Times New Roman" w:eastAsiaTheme="minorEastAsia" w:hAnsi="Times New Roman" w:cs="Arial"/>
          <w:color w:val="000000"/>
          <w:sz w:val="24"/>
          <w:lang w:val="en-GB" w:eastAsia="en-GB"/>
        </w:rPr>
        <w:t>Evaluate cost and benefits of the systems and services tested along with real-world challenges and opportunities, based on user and city needs, and provide feedback on viability and limitations as well as new requirements to the 2Zero and CCAM partnerships.</w:t>
      </w:r>
    </w:p>
    <w:p w:rsidR="00C75202" w:rsidRPr="00C75202" w:rsidRDefault="00C75202" w:rsidP="00C75202">
      <w:pPr>
        <w:numPr>
          <w:ilvl w:val="0"/>
          <w:numId w:val="2"/>
        </w:numPr>
        <w:spacing w:after="200" w:line="276" w:lineRule="auto"/>
        <w:jc w:val="both"/>
        <w:rPr>
          <w:rFonts w:ascii="Times New Roman" w:eastAsiaTheme="minorEastAsia" w:hAnsi="Times New Roman" w:cs="Arial"/>
          <w:sz w:val="24"/>
          <w:lang w:val="en-GB" w:eastAsia="en-GB"/>
        </w:rPr>
      </w:pPr>
      <w:r w:rsidRPr="00C75202">
        <w:rPr>
          <w:rFonts w:ascii="Times New Roman" w:eastAsiaTheme="minorEastAsia" w:hAnsi="Times New Roman" w:cs="Arial"/>
          <w:color w:val="000000"/>
          <w:sz w:val="24"/>
          <w:lang w:val="en-GB" w:eastAsia="en-GB"/>
        </w:rPr>
        <w:t>Support the development of skills on the planning and implementation of smart, shared and zero-emission urban mobility systems within the local authorities and co-creation with private stakeholders along SUMP and SULP (Sustainable Urban Logistics Planning) guidelines, e.g. the practitioner briefing on Road Vehicle Automation of the Sustainable Urban Mobility Plans.</w:t>
      </w:r>
    </w:p>
    <w:p w:rsidR="00C75202" w:rsidRPr="00C75202" w:rsidRDefault="00C75202" w:rsidP="00C75202">
      <w:pPr>
        <w:numPr>
          <w:ilvl w:val="0"/>
          <w:numId w:val="2"/>
        </w:numPr>
        <w:spacing w:after="200" w:line="276" w:lineRule="auto"/>
        <w:jc w:val="both"/>
        <w:rPr>
          <w:rFonts w:ascii="Times New Roman" w:eastAsiaTheme="minorEastAsia" w:hAnsi="Times New Roman" w:cs="Arial"/>
          <w:sz w:val="24"/>
          <w:lang w:val="en-GB" w:eastAsia="en-GB"/>
        </w:rPr>
      </w:pPr>
      <w:r w:rsidRPr="00C75202">
        <w:rPr>
          <w:rFonts w:ascii="Times New Roman" w:eastAsiaTheme="minorEastAsia" w:hAnsi="Times New Roman" w:cs="Arial"/>
          <w:color w:val="000000"/>
          <w:sz w:val="24"/>
          <w:lang w:val="en-GB" w:eastAsia="en-GB"/>
        </w:rPr>
        <w:t xml:space="preserve">Disseminate results via the 2Zero and CCAM partnerships and the Mission Platform and via relevant events, such as CIVITAS, Transport Research Arena (TRA) conference and other European events. </w:t>
      </w:r>
    </w:p>
    <w:p w:rsidR="00C75202" w:rsidRPr="00C75202" w:rsidRDefault="00C75202" w:rsidP="00C75202">
      <w:pPr>
        <w:spacing w:after="200" w:line="276" w:lineRule="auto"/>
        <w:jc w:val="both"/>
        <w:rPr>
          <w:rFonts w:ascii="Times New Roman" w:eastAsiaTheme="minorEastAsia" w:hAnsi="Times New Roman" w:cs="Arial"/>
          <w:sz w:val="24"/>
          <w:lang w:val="en-GB" w:eastAsia="en-GB"/>
        </w:rPr>
      </w:pPr>
      <w:r w:rsidRPr="00C75202">
        <w:rPr>
          <w:rFonts w:ascii="Times New Roman" w:eastAsiaTheme="minorEastAsia" w:hAnsi="Times New Roman" w:cs="Arial"/>
          <w:color w:val="000000"/>
          <w:sz w:val="24"/>
          <w:lang w:val="en-GB" w:eastAsia="en-GB"/>
        </w:rPr>
        <w:t>Proposals should fully exploit technologies developed/under development in the 2Zero and CCAM partnerships when designing, testing and demonstrating solutions and services, such as, e.g., automated and connected functions or digital twins optimising the charging, parking, safe (remote) control, operational design domain of vehicles or the fleet, traffic management and last-mile operations.</w:t>
      </w:r>
    </w:p>
    <w:p w:rsidR="00C75202" w:rsidRPr="00C75202" w:rsidRDefault="00C75202" w:rsidP="00C75202">
      <w:pPr>
        <w:spacing w:after="200" w:line="276" w:lineRule="auto"/>
        <w:jc w:val="both"/>
        <w:rPr>
          <w:rFonts w:ascii="Times New Roman" w:eastAsiaTheme="minorEastAsia" w:hAnsi="Times New Roman" w:cs="Arial"/>
          <w:sz w:val="24"/>
          <w:lang w:val="en-GB" w:eastAsia="en-GB"/>
        </w:rPr>
      </w:pPr>
      <w:r w:rsidRPr="00C75202">
        <w:rPr>
          <w:rFonts w:ascii="Times New Roman" w:eastAsiaTheme="minorEastAsia" w:hAnsi="Times New Roman" w:cs="Arial"/>
          <w:color w:val="000000"/>
          <w:sz w:val="24"/>
          <w:lang w:val="en-GB" w:eastAsia="en-GB"/>
        </w:rPr>
        <w:t xml:space="preserve">To allow for a thorough evaluation of the projects’ ambition, progress and effect compared to the state of the art in the European Union and internationally, proposals </w:t>
      </w:r>
      <w:proofErr w:type="gramStart"/>
      <w:r w:rsidRPr="00C75202">
        <w:rPr>
          <w:rFonts w:ascii="Times New Roman" w:eastAsiaTheme="minorEastAsia" w:hAnsi="Times New Roman" w:cs="Arial"/>
          <w:color w:val="000000"/>
          <w:sz w:val="24"/>
          <w:lang w:val="en-GB" w:eastAsia="en-GB"/>
        </w:rPr>
        <w:t>are expected</w:t>
      </w:r>
      <w:proofErr w:type="gramEnd"/>
      <w:r w:rsidRPr="00C75202">
        <w:rPr>
          <w:rFonts w:ascii="Times New Roman" w:eastAsiaTheme="minorEastAsia" w:hAnsi="Times New Roman" w:cs="Arial"/>
          <w:color w:val="000000"/>
          <w:sz w:val="24"/>
          <w:lang w:val="en-GB" w:eastAsia="en-GB"/>
        </w:rPr>
        <w:t xml:space="preserve"> to provide measurable or predictable indicators of contributions of the tested solutions to the applicable outcomes and impacts expected from the 2Zero and CCAM partnerships as well as the Cities Mission. These </w:t>
      </w:r>
      <w:proofErr w:type="gramStart"/>
      <w:r w:rsidRPr="00C75202">
        <w:rPr>
          <w:rFonts w:ascii="Times New Roman" w:eastAsiaTheme="minorEastAsia" w:hAnsi="Times New Roman" w:cs="Arial"/>
          <w:color w:val="000000"/>
          <w:sz w:val="24"/>
          <w:lang w:val="en-GB" w:eastAsia="en-GB"/>
        </w:rPr>
        <w:t>should be supported</w:t>
      </w:r>
      <w:proofErr w:type="gramEnd"/>
      <w:r w:rsidRPr="00C75202">
        <w:rPr>
          <w:rFonts w:ascii="Times New Roman" w:eastAsiaTheme="minorEastAsia" w:hAnsi="Times New Roman" w:cs="Arial"/>
          <w:color w:val="000000"/>
          <w:sz w:val="24"/>
          <w:lang w:val="en-GB" w:eastAsia="en-GB"/>
        </w:rPr>
        <w:t xml:space="preserve"> by clear baselines, quantified targets and appropriate review processes for each participating city and include a detailed analysis of present and future potential user groups. The ‘CIVITAS Process and Impact Evaluation Framework’ and ‘Sustainable Urban Mobility Indicators”, where appropriate in combination with other sector-specific impact evaluation methodologies, should be used to evaluate the impact of the solutions.</w:t>
      </w:r>
    </w:p>
    <w:p w:rsidR="00C75202" w:rsidRPr="00C75202" w:rsidRDefault="00C75202" w:rsidP="00C75202">
      <w:pPr>
        <w:spacing w:after="200" w:line="276" w:lineRule="auto"/>
        <w:jc w:val="both"/>
        <w:rPr>
          <w:rFonts w:ascii="Times New Roman" w:eastAsiaTheme="minorEastAsia" w:hAnsi="Times New Roman" w:cs="Arial"/>
          <w:sz w:val="24"/>
          <w:lang w:val="en-GB" w:eastAsia="en-GB"/>
        </w:rPr>
      </w:pPr>
      <w:r w:rsidRPr="00C75202">
        <w:rPr>
          <w:rFonts w:ascii="Times New Roman" w:eastAsiaTheme="minorEastAsia" w:hAnsi="Times New Roman" w:cs="Arial"/>
          <w:color w:val="000000"/>
          <w:sz w:val="24"/>
          <w:lang w:val="en-GB" w:eastAsia="en-GB"/>
        </w:rPr>
        <w:t>Selected projects may consider including activities to investigate and foster societal readiness, for example by measuring the acceptability of new mobility solutions as well as behavioural change. This could include inter alia methods of co-assessment as well as actions to increase public awareness in order to anticipate and mitigate potential negative rebound effects.</w:t>
      </w:r>
    </w:p>
    <w:p w:rsidR="00C75202" w:rsidRPr="00C75202" w:rsidRDefault="00C75202" w:rsidP="00C75202">
      <w:pPr>
        <w:spacing w:after="200" w:line="276" w:lineRule="auto"/>
        <w:jc w:val="both"/>
        <w:rPr>
          <w:rFonts w:ascii="Times New Roman" w:eastAsiaTheme="minorEastAsia" w:hAnsi="Times New Roman" w:cs="Arial"/>
          <w:sz w:val="24"/>
          <w:lang w:val="en-GB" w:eastAsia="en-GB"/>
        </w:rPr>
      </w:pPr>
      <w:r w:rsidRPr="00C75202">
        <w:rPr>
          <w:rFonts w:ascii="Times New Roman" w:eastAsiaTheme="minorEastAsia" w:hAnsi="Times New Roman" w:cs="Arial"/>
          <w:color w:val="000000"/>
          <w:sz w:val="24"/>
          <w:lang w:val="en-GB" w:eastAsia="en-GB"/>
        </w:rPr>
        <w:t xml:space="preserve">This </w:t>
      </w:r>
      <w:proofErr w:type="gramStart"/>
      <w:r w:rsidRPr="00C75202">
        <w:rPr>
          <w:rFonts w:ascii="Times New Roman" w:eastAsiaTheme="minorEastAsia" w:hAnsi="Times New Roman" w:cs="Arial"/>
          <w:color w:val="000000"/>
          <w:sz w:val="24"/>
          <w:lang w:val="en-GB" w:eastAsia="en-GB"/>
        </w:rPr>
        <w:t>should be accompanied</w:t>
      </w:r>
      <w:proofErr w:type="gramEnd"/>
      <w:r w:rsidRPr="00C75202">
        <w:rPr>
          <w:rFonts w:ascii="Times New Roman" w:eastAsiaTheme="minorEastAsia" w:hAnsi="Times New Roman" w:cs="Arial"/>
          <w:color w:val="000000"/>
          <w:sz w:val="24"/>
          <w:lang w:val="en-GB" w:eastAsia="en-GB"/>
        </w:rPr>
        <w:t xml:space="preserve"> by mechanisms for common lesson drawing and learning, within the project, between the projects funded under this topic and through the Cities Mission Platform and 2Zero/CCAM partnerships.</w:t>
      </w:r>
    </w:p>
    <w:p w:rsidR="00C75202" w:rsidRPr="00C75202" w:rsidRDefault="00C75202" w:rsidP="00C75202">
      <w:pPr>
        <w:spacing w:after="200" w:line="276" w:lineRule="auto"/>
        <w:jc w:val="both"/>
        <w:rPr>
          <w:rFonts w:ascii="Times New Roman" w:eastAsiaTheme="minorEastAsia" w:hAnsi="Times New Roman" w:cs="Arial"/>
          <w:sz w:val="24"/>
          <w:lang w:val="en-GB" w:eastAsia="en-GB"/>
        </w:rPr>
      </w:pPr>
      <w:r w:rsidRPr="00C75202">
        <w:rPr>
          <w:rFonts w:ascii="Times New Roman" w:eastAsiaTheme="minorEastAsia" w:hAnsi="Times New Roman" w:cs="Arial"/>
          <w:color w:val="000000"/>
          <w:sz w:val="24"/>
          <w:lang w:val="en-GB" w:eastAsia="en-GB"/>
        </w:rPr>
        <w:lastRenderedPageBreak/>
        <w:t xml:space="preserve">Each proposal should envisage pilot demonstrations in at least two cities (lead cities) situated each in a different Member State or Associated Country. Proposals should provide the necessary evidence of the cities’ commitment to test and implement the co-designed solutions. To foster replicability and </w:t>
      </w:r>
      <w:proofErr w:type="gramStart"/>
      <w:r w:rsidRPr="00C75202">
        <w:rPr>
          <w:rFonts w:ascii="Times New Roman" w:eastAsiaTheme="minorEastAsia" w:hAnsi="Times New Roman" w:cs="Arial"/>
          <w:color w:val="000000"/>
          <w:sz w:val="24"/>
          <w:lang w:val="en-GB" w:eastAsia="en-GB"/>
        </w:rPr>
        <w:t>up-taking</w:t>
      </w:r>
      <w:proofErr w:type="gramEnd"/>
      <w:r w:rsidRPr="00C75202">
        <w:rPr>
          <w:rFonts w:ascii="Times New Roman" w:eastAsiaTheme="minorEastAsia" w:hAnsi="Times New Roman" w:cs="Arial"/>
          <w:color w:val="000000"/>
          <w:sz w:val="24"/>
          <w:lang w:val="en-GB" w:eastAsia="en-GB"/>
        </w:rPr>
        <w:t xml:space="preserve"> of the outcomes, each proposal should also engage at least four replication/follower cities.</w:t>
      </w:r>
    </w:p>
    <w:p w:rsidR="00C75202" w:rsidRPr="00C75202" w:rsidRDefault="00C75202" w:rsidP="00C75202">
      <w:pPr>
        <w:spacing w:after="200" w:line="276" w:lineRule="auto"/>
        <w:jc w:val="both"/>
        <w:rPr>
          <w:rFonts w:ascii="Times New Roman" w:eastAsiaTheme="minorEastAsia" w:hAnsi="Times New Roman" w:cs="Arial"/>
          <w:sz w:val="24"/>
          <w:lang w:val="en-GB" w:eastAsia="en-GB"/>
        </w:rPr>
      </w:pPr>
      <w:r w:rsidRPr="00C75202">
        <w:rPr>
          <w:rFonts w:ascii="Times New Roman" w:eastAsiaTheme="minorEastAsia" w:hAnsi="Times New Roman" w:cs="Arial"/>
          <w:color w:val="000000"/>
          <w:sz w:val="24"/>
          <w:lang w:val="en-GB" w:eastAsia="en-GB"/>
        </w:rPr>
        <w:t xml:space="preserve">The consortia awarded under this topic must establish a collaboration agreement, to identify clear links among themselves and ensure complementarity, coordination and exchange on relevant linked activities. The consortia awarded should also foresee active collaboration with relevant and related projects funded under this call in order to address synergies and complementarities between the projects of the Cities Mission portfolio. In </w:t>
      </w:r>
      <w:proofErr w:type="gramStart"/>
      <w:r w:rsidRPr="00C75202">
        <w:rPr>
          <w:rFonts w:ascii="Times New Roman" w:eastAsiaTheme="minorEastAsia" w:hAnsi="Times New Roman" w:cs="Arial"/>
          <w:color w:val="000000"/>
          <w:sz w:val="24"/>
          <w:lang w:val="en-GB" w:eastAsia="en-GB"/>
        </w:rPr>
        <w:t>particular</w:t>
      </w:r>
      <w:proofErr w:type="gramEnd"/>
      <w:r w:rsidRPr="00C75202">
        <w:rPr>
          <w:rFonts w:ascii="Times New Roman" w:eastAsiaTheme="minorEastAsia" w:hAnsi="Times New Roman" w:cs="Arial"/>
          <w:color w:val="000000"/>
          <w:sz w:val="24"/>
          <w:lang w:val="en-GB" w:eastAsia="en-GB"/>
        </w:rPr>
        <w:t xml:space="preserve"> collaboration with the Mission Platform is essential. The collaboration between consortia awarded as well as with the Mission Platform must be formalised through a Memorandum of Understanding to </w:t>
      </w:r>
      <w:proofErr w:type="gramStart"/>
      <w:r w:rsidRPr="00C75202">
        <w:rPr>
          <w:rFonts w:ascii="Times New Roman" w:eastAsiaTheme="minorEastAsia" w:hAnsi="Times New Roman" w:cs="Arial"/>
          <w:color w:val="000000"/>
          <w:sz w:val="24"/>
          <w:lang w:val="en-GB" w:eastAsia="en-GB"/>
        </w:rPr>
        <w:t>be concluded</w:t>
      </w:r>
      <w:proofErr w:type="gramEnd"/>
      <w:r w:rsidRPr="00C75202">
        <w:rPr>
          <w:rFonts w:ascii="Times New Roman" w:eastAsiaTheme="minorEastAsia" w:hAnsi="Times New Roman" w:cs="Arial"/>
          <w:color w:val="000000"/>
          <w:sz w:val="24"/>
          <w:lang w:val="en-GB" w:eastAsia="en-GB"/>
        </w:rPr>
        <w:t xml:space="preserve"> as soon as possible after the projects' starting date.</w:t>
      </w:r>
    </w:p>
    <w:p w:rsidR="00C75202" w:rsidRPr="00C75202" w:rsidRDefault="00C75202" w:rsidP="00C75202">
      <w:pPr>
        <w:spacing w:after="200" w:line="276" w:lineRule="auto"/>
        <w:jc w:val="both"/>
        <w:rPr>
          <w:rFonts w:ascii="Times New Roman" w:eastAsiaTheme="minorEastAsia" w:hAnsi="Times New Roman" w:cs="Arial"/>
          <w:sz w:val="24"/>
          <w:lang w:val="en-GB" w:eastAsia="en-GB"/>
        </w:rPr>
      </w:pPr>
      <w:r w:rsidRPr="00C75202">
        <w:rPr>
          <w:rFonts w:ascii="Times New Roman" w:eastAsiaTheme="minorEastAsia" w:hAnsi="Times New Roman" w:cs="Arial"/>
          <w:color w:val="000000"/>
          <w:sz w:val="24"/>
          <w:lang w:val="en-GB" w:eastAsia="en-GB"/>
        </w:rPr>
        <w:t>In addition, given the important role of territories in which the participating cities are located, lead cities are encouraged to seek cooperation with and support from their territories, where relevant (metropolis, functional urban area, grouping of interacting municipalities with the cities, region, etc.). Support could take the form of, for example, an integration or link in an existing or future programme of the territory, financial support, or the involvement of representatives of these territories as partners in the project.</w:t>
      </w:r>
    </w:p>
    <w:p w:rsidR="00C75202" w:rsidRPr="00C75202" w:rsidRDefault="00C75202" w:rsidP="00C75202">
      <w:pPr>
        <w:spacing w:after="200" w:line="276" w:lineRule="auto"/>
        <w:jc w:val="both"/>
        <w:rPr>
          <w:rFonts w:ascii="Times New Roman" w:eastAsiaTheme="minorEastAsia" w:hAnsi="Times New Roman" w:cs="Arial"/>
          <w:sz w:val="24"/>
          <w:lang w:val="en-GB" w:eastAsia="en-GB"/>
        </w:rPr>
      </w:pPr>
      <w:proofErr w:type="gramStart"/>
      <w:r w:rsidRPr="00C75202">
        <w:rPr>
          <w:rFonts w:ascii="Times New Roman" w:eastAsiaTheme="minorEastAsia" w:hAnsi="Times New Roman" w:cs="Arial"/>
          <w:color w:val="000000"/>
          <w:sz w:val="24"/>
          <w:lang w:val="en-GB" w:eastAsia="en-GB"/>
        </w:rPr>
        <w:t>This topic requires the effective contribution of SSH (Social Sciences and Humanities) disciplines and the involvement of SSH experts, institutions as well as the inclusion of relevant SSH expertise, in order to produce meaningful and significant effects enhancing the societal impact of the related research activities. Social innovation should also be considered to support the actions under this topic in order to match innovative ideas with social needs. Inclusiveness of vulnerable populations (older people, children) as well as gender perspectives in mobility should be considered.</w:t>
      </w:r>
      <w:proofErr w:type="gramEnd"/>
    </w:p>
    <w:p w:rsidR="00A85CE6" w:rsidRPr="00C75202" w:rsidRDefault="00C75202" w:rsidP="00C75202">
      <w:pPr>
        <w:rPr>
          <w:lang w:val="en-US"/>
        </w:rPr>
      </w:pPr>
      <w:r w:rsidRPr="00C75202">
        <w:rPr>
          <w:rFonts w:ascii="Times New Roman" w:eastAsiaTheme="minorEastAsia" w:hAnsi="Times New Roman" w:cs="Arial"/>
          <w:color w:val="000000"/>
          <w:sz w:val="24"/>
          <w:lang w:val="en-GB" w:eastAsia="en-GB"/>
        </w:rPr>
        <w:t xml:space="preserve">If projects use satellite-based earth observation, positioning, navigation and/or related timing data and services, beneficiaries are expected to clearly describe if and how the use of Copernicus and/or Galileo/EGNOS are incorporated in the proposed solutions. In addition, if the activities proposed involve the use and/or development of AI-based systems and/or techniques, the technical and social robustness of the proposed systems has to </w:t>
      </w:r>
      <w:proofErr w:type="gramStart"/>
      <w:r w:rsidRPr="00C75202">
        <w:rPr>
          <w:rFonts w:ascii="Times New Roman" w:eastAsiaTheme="minorEastAsia" w:hAnsi="Times New Roman" w:cs="Arial"/>
          <w:color w:val="000000"/>
          <w:sz w:val="24"/>
          <w:lang w:val="en-GB" w:eastAsia="en-GB"/>
        </w:rPr>
        <w:t>be described</w:t>
      </w:r>
      <w:proofErr w:type="gramEnd"/>
      <w:r w:rsidRPr="00C75202">
        <w:rPr>
          <w:rFonts w:ascii="Times New Roman" w:eastAsiaTheme="minorEastAsia" w:hAnsi="Times New Roman" w:cs="Arial"/>
          <w:color w:val="000000"/>
          <w:sz w:val="24"/>
          <w:lang w:val="en-GB" w:eastAsia="en-GB"/>
        </w:rPr>
        <w:t xml:space="preserve"> in the proposal.</w:t>
      </w:r>
    </w:p>
    <w:sectPr w:rsidR="00A85CE6" w:rsidRPr="00C7520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835" w:rsidRDefault="00C90835" w:rsidP="00C75202">
      <w:pPr>
        <w:spacing w:after="0" w:line="240" w:lineRule="auto"/>
      </w:pPr>
      <w:r>
        <w:separator/>
      </w:r>
    </w:p>
  </w:endnote>
  <w:endnote w:type="continuationSeparator" w:id="0">
    <w:p w:rsidR="00C90835" w:rsidRDefault="00C90835" w:rsidP="00C75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835" w:rsidRDefault="00C90835" w:rsidP="00C75202">
      <w:pPr>
        <w:spacing w:after="0" w:line="240" w:lineRule="auto"/>
      </w:pPr>
      <w:r>
        <w:separator/>
      </w:r>
    </w:p>
  </w:footnote>
  <w:footnote w:type="continuationSeparator" w:id="0">
    <w:p w:rsidR="00C90835" w:rsidRDefault="00C90835" w:rsidP="00C75202">
      <w:pPr>
        <w:spacing w:after="0" w:line="240" w:lineRule="auto"/>
      </w:pPr>
      <w:r>
        <w:continuationSeparator/>
      </w:r>
    </w:p>
  </w:footnote>
  <w:footnote w:id="1">
    <w:p w:rsidR="00C75202" w:rsidRDefault="00C75202" w:rsidP="00C75202">
      <w:pPr>
        <w:pStyle w:val="footnote1"/>
      </w:pPr>
      <w:r>
        <w:rPr>
          <w:vertAlign w:val="superscript"/>
        </w:rPr>
        <w:footnoteRef/>
      </w:r>
      <w:r>
        <w:rPr>
          <w:vertAlign w:val="superscript"/>
        </w:rPr>
        <w:tab/>
      </w:r>
      <w:r>
        <w:rPr>
          <w:color w:val="000000"/>
        </w:rPr>
        <w:t xml:space="preserve">Conceived through the Horizon 2020 project </w:t>
      </w:r>
      <w:proofErr w:type="spellStart"/>
      <w:r>
        <w:rPr>
          <w:color w:val="000000"/>
        </w:rPr>
        <w:t>NetZeroCities</w:t>
      </w:r>
      <w:proofErr w:type="spellEnd"/>
      <w:r>
        <w:rPr>
          <w:color w:val="000000"/>
        </w:rPr>
        <w:t xml:space="preserve"> - Accelerating cities' transition to net zero emissions by 2030, Grant Agreement n. 101036519, to be scaled up through the topic </w:t>
      </w:r>
      <w:r>
        <w:rPr>
          <w:i/>
          <w:color w:val="000000"/>
        </w:rPr>
        <w:t>HORIZON-MISS-2021-CIT-02-03: Framework Partnership Agreement (FPA) for the Climate-Neutral and Smart Cities Mission Platform</w:t>
      </w:r>
    </w:p>
  </w:footnote>
  <w:footnote w:id="2">
    <w:p w:rsidR="00C75202" w:rsidRDefault="00C75202" w:rsidP="00C75202">
      <w:pPr>
        <w:pStyle w:val="footnote1"/>
      </w:pPr>
      <w:r>
        <w:rPr>
          <w:vertAlign w:val="superscript"/>
        </w:rPr>
        <w:footnoteRef/>
      </w:r>
      <w:r>
        <w:rPr>
          <w:vertAlign w:val="superscript"/>
        </w:rPr>
        <w:tab/>
      </w:r>
      <w:r>
        <w:rPr>
          <w:color w:val="000000"/>
        </w:rPr>
        <w:t>Compliant with FAIR data principles (https://ec.europa.eu/info/sites/info/files/turning_fair_into_reality_0.pdf.)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87EF4"/>
    <w:multiLevelType w:val="hybridMultilevel"/>
    <w:tmpl w:val="3284502C"/>
    <w:lvl w:ilvl="0" w:tplc="292CFB06">
      <w:start w:val="1"/>
      <w:numFmt w:val="decimal"/>
      <w:lvlText w:val="%1."/>
      <w:lvlJc w:val="right"/>
      <w:pPr>
        <w:ind w:left="500" w:hanging="180"/>
      </w:pPr>
      <w:rPr>
        <w:rFonts w:cs="Times New Roman"/>
      </w:rPr>
    </w:lvl>
    <w:lvl w:ilvl="1" w:tplc="9E04AB72">
      <w:start w:val="1"/>
      <w:numFmt w:val="decimal"/>
      <w:lvlText w:val="%2."/>
      <w:lvlJc w:val="right"/>
      <w:pPr>
        <w:ind w:left="1000" w:hanging="180"/>
      </w:pPr>
      <w:rPr>
        <w:rFonts w:cs="Times New Roman"/>
      </w:rPr>
    </w:lvl>
    <w:lvl w:ilvl="2" w:tplc="BAB65DF6">
      <w:start w:val="1"/>
      <w:numFmt w:val="decimal"/>
      <w:lvlText w:val="%3."/>
      <w:lvlJc w:val="right"/>
      <w:pPr>
        <w:ind w:left="1500" w:hanging="180"/>
      </w:pPr>
      <w:rPr>
        <w:rFonts w:cs="Times New Roman"/>
      </w:rPr>
    </w:lvl>
    <w:lvl w:ilvl="3" w:tplc="0AA8325E">
      <w:start w:val="1"/>
      <w:numFmt w:val="decimal"/>
      <w:lvlText w:val="%4."/>
      <w:lvlJc w:val="right"/>
      <w:pPr>
        <w:ind w:left="2000" w:hanging="180"/>
      </w:pPr>
      <w:rPr>
        <w:rFonts w:cs="Times New Roman"/>
      </w:rPr>
    </w:lvl>
    <w:lvl w:ilvl="4" w:tplc="93DAB64E">
      <w:start w:val="1"/>
      <w:numFmt w:val="decimal"/>
      <w:lvlText w:val="%5."/>
      <w:lvlJc w:val="right"/>
      <w:pPr>
        <w:ind w:left="2500" w:hanging="180"/>
      </w:pPr>
      <w:rPr>
        <w:rFonts w:cs="Times New Roman"/>
      </w:rPr>
    </w:lvl>
    <w:lvl w:ilvl="5" w:tplc="4E9C35FA">
      <w:start w:val="1"/>
      <w:numFmt w:val="decimal"/>
      <w:lvlText w:val="%6."/>
      <w:lvlJc w:val="right"/>
      <w:pPr>
        <w:ind w:left="3000" w:hanging="180"/>
      </w:pPr>
      <w:rPr>
        <w:rFonts w:cs="Times New Roman"/>
      </w:rPr>
    </w:lvl>
    <w:lvl w:ilvl="6" w:tplc="26D04360">
      <w:start w:val="1"/>
      <w:numFmt w:val="decimal"/>
      <w:lvlText w:val="%7."/>
      <w:lvlJc w:val="right"/>
      <w:pPr>
        <w:ind w:left="3500" w:hanging="180"/>
      </w:pPr>
      <w:rPr>
        <w:rFonts w:cs="Times New Roman"/>
      </w:rPr>
    </w:lvl>
    <w:lvl w:ilvl="7" w:tplc="1DBE436A">
      <w:start w:val="1"/>
      <w:numFmt w:val="decimal"/>
      <w:lvlText w:val="%8."/>
      <w:lvlJc w:val="right"/>
      <w:pPr>
        <w:ind w:left="4000" w:hanging="180"/>
      </w:pPr>
      <w:rPr>
        <w:rFonts w:cs="Times New Roman"/>
      </w:rPr>
    </w:lvl>
    <w:lvl w:ilvl="8" w:tplc="8AB6E652">
      <w:start w:val="1"/>
      <w:numFmt w:val="decimal"/>
      <w:lvlText w:val="%9."/>
      <w:lvlJc w:val="right"/>
      <w:pPr>
        <w:ind w:left="4500" w:hanging="180"/>
      </w:pPr>
      <w:rPr>
        <w:rFonts w:cs="Times New Roman"/>
      </w:rPr>
    </w:lvl>
  </w:abstractNum>
  <w:abstractNum w:abstractNumId="1" w15:restartNumberingAfterBreak="0">
    <w:nsid w:val="361E5F3E"/>
    <w:multiLevelType w:val="hybridMultilevel"/>
    <w:tmpl w:val="27707742"/>
    <w:name w:val="CPSNumberingScheme"/>
    <w:lvl w:ilvl="0" w:tplc="7B9444E6">
      <w:start w:val="1"/>
      <w:numFmt w:val="decimal"/>
      <w:lvlText w:val="%1."/>
      <w:lvlJc w:val="right"/>
      <w:pPr>
        <w:ind w:left="500" w:hanging="180"/>
      </w:pPr>
      <w:rPr>
        <w:rFonts w:cs="Times New Roman"/>
      </w:rPr>
    </w:lvl>
    <w:lvl w:ilvl="1" w:tplc="9DAC8160">
      <w:start w:val="1"/>
      <w:numFmt w:val="decimal"/>
      <w:lvlText w:val="%2."/>
      <w:lvlJc w:val="right"/>
      <w:pPr>
        <w:ind w:left="1000" w:hanging="180"/>
      </w:pPr>
      <w:rPr>
        <w:rFonts w:cs="Times New Roman"/>
      </w:rPr>
    </w:lvl>
    <w:lvl w:ilvl="2" w:tplc="E7AC36F0">
      <w:start w:val="1"/>
      <w:numFmt w:val="decimal"/>
      <w:lvlText w:val="%3."/>
      <w:lvlJc w:val="right"/>
      <w:pPr>
        <w:ind w:left="1500" w:hanging="180"/>
      </w:pPr>
      <w:rPr>
        <w:rFonts w:cs="Times New Roman"/>
      </w:rPr>
    </w:lvl>
    <w:lvl w:ilvl="3" w:tplc="11B6BA14">
      <w:start w:val="1"/>
      <w:numFmt w:val="decimal"/>
      <w:lvlText w:val="%4."/>
      <w:lvlJc w:val="right"/>
      <w:pPr>
        <w:ind w:left="2000" w:hanging="180"/>
      </w:pPr>
      <w:rPr>
        <w:rFonts w:cs="Times New Roman"/>
      </w:rPr>
    </w:lvl>
    <w:lvl w:ilvl="4" w:tplc="1CA8BECA">
      <w:start w:val="1"/>
      <w:numFmt w:val="decimal"/>
      <w:lvlText w:val="%5."/>
      <w:lvlJc w:val="right"/>
      <w:pPr>
        <w:ind w:left="2500" w:hanging="180"/>
      </w:pPr>
      <w:rPr>
        <w:rFonts w:cs="Times New Roman"/>
      </w:rPr>
    </w:lvl>
    <w:lvl w:ilvl="5" w:tplc="FC3658BA">
      <w:start w:val="1"/>
      <w:numFmt w:val="decimal"/>
      <w:lvlText w:val="%6."/>
      <w:lvlJc w:val="right"/>
      <w:pPr>
        <w:ind w:left="3000" w:hanging="180"/>
      </w:pPr>
      <w:rPr>
        <w:rFonts w:cs="Times New Roman"/>
      </w:rPr>
    </w:lvl>
    <w:lvl w:ilvl="6" w:tplc="3B56E4CE">
      <w:start w:val="1"/>
      <w:numFmt w:val="decimal"/>
      <w:lvlText w:val="%7."/>
      <w:lvlJc w:val="right"/>
      <w:pPr>
        <w:ind w:left="3500" w:hanging="180"/>
      </w:pPr>
      <w:rPr>
        <w:rFonts w:cs="Times New Roman"/>
      </w:rPr>
    </w:lvl>
    <w:lvl w:ilvl="7" w:tplc="3C923F58">
      <w:start w:val="1"/>
      <w:numFmt w:val="decimal"/>
      <w:lvlText w:val="%8."/>
      <w:lvlJc w:val="right"/>
      <w:pPr>
        <w:ind w:left="4000" w:hanging="180"/>
      </w:pPr>
      <w:rPr>
        <w:rFonts w:cs="Times New Roman"/>
      </w:rPr>
    </w:lvl>
    <w:lvl w:ilvl="8" w:tplc="7020EE22">
      <w:start w:val="1"/>
      <w:numFmt w:val="decimal"/>
      <w:lvlText w:val="%9."/>
      <w:lvlJc w:val="right"/>
      <w:pPr>
        <w:ind w:left="4500" w:hanging="180"/>
      </w:pPr>
      <w:rPr>
        <w:rFonts w:cs="Times New Roman"/>
      </w:rPr>
    </w:lvl>
  </w:abstractNum>
  <w:num w:numId="1">
    <w:abstractNumId w:val="1"/>
    <w:lvlOverride w:ilvl="0">
      <w:startOverride w:val="1"/>
      <w:lvl w:ilvl="0" w:tplc="7B9444E6">
        <w:start w:val="1"/>
        <w:numFmt w:val="bullet"/>
        <w:lvlText w:val=""/>
        <w:lvlJc w:val="right"/>
        <w:pPr>
          <w:ind w:left="500" w:hanging="180"/>
        </w:pPr>
        <w:rPr>
          <w:rFonts w:ascii="Symbol" w:hAnsi="Symbol" w:hint="default"/>
        </w:rPr>
      </w:lvl>
    </w:lvlOverride>
    <w:lvlOverride w:ilvl="1">
      <w:startOverride w:val="1"/>
      <w:lvl w:ilvl="1" w:tplc="9DAC8160">
        <w:start w:val="1"/>
        <w:numFmt w:val="bullet"/>
        <w:lvlText w:val="o"/>
        <w:lvlJc w:val="right"/>
        <w:pPr>
          <w:ind w:left="1000" w:hanging="180"/>
        </w:pPr>
        <w:rPr>
          <w:rFonts w:ascii="Symbol" w:hAnsi="Symbol" w:hint="default"/>
        </w:rPr>
      </w:lvl>
    </w:lvlOverride>
    <w:lvlOverride w:ilvl="2">
      <w:startOverride w:val="1"/>
      <w:lvl w:ilvl="2" w:tplc="E7AC36F0">
        <w:start w:val="1"/>
        <w:numFmt w:val="decimal"/>
        <w:lvlText w:val="%3."/>
        <w:lvlJc w:val="right"/>
        <w:pPr>
          <w:ind w:left="1500" w:hanging="180"/>
        </w:pPr>
        <w:rPr>
          <w:rFonts w:cs="Times New Roman"/>
        </w:rPr>
      </w:lvl>
    </w:lvlOverride>
    <w:lvlOverride w:ilvl="3">
      <w:startOverride w:val="1"/>
      <w:lvl w:ilvl="3" w:tplc="11B6BA14">
        <w:start w:val="1"/>
        <w:numFmt w:val="decimal"/>
        <w:lvlText w:val="%4."/>
        <w:lvlJc w:val="right"/>
        <w:pPr>
          <w:ind w:left="2000" w:hanging="180"/>
        </w:pPr>
        <w:rPr>
          <w:rFonts w:cs="Times New Roman"/>
        </w:rPr>
      </w:lvl>
    </w:lvlOverride>
    <w:lvlOverride w:ilvl="4">
      <w:startOverride w:val="1"/>
      <w:lvl w:ilvl="4" w:tplc="1CA8BECA">
        <w:start w:val="1"/>
        <w:numFmt w:val="decimal"/>
        <w:lvlText w:val="%5."/>
        <w:lvlJc w:val="right"/>
        <w:pPr>
          <w:ind w:left="2500" w:hanging="180"/>
        </w:pPr>
        <w:rPr>
          <w:rFonts w:cs="Times New Roman"/>
        </w:rPr>
      </w:lvl>
    </w:lvlOverride>
    <w:lvlOverride w:ilvl="5">
      <w:startOverride w:val="1"/>
      <w:lvl w:ilvl="5" w:tplc="FC3658BA">
        <w:start w:val="1"/>
        <w:numFmt w:val="decimal"/>
        <w:lvlText w:val="%6."/>
        <w:lvlJc w:val="right"/>
        <w:pPr>
          <w:ind w:left="3000" w:hanging="180"/>
        </w:pPr>
        <w:rPr>
          <w:rFonts w:cs="Times New Roman"/>
        </w:rPr>
      </w:lvl>
    </w:lvlOverride>
    <w:lvlOverride w:ilvl="6">
      <w:startOverride w:val="1"/>
      <w:lvl w:ilvl="6" w:tplc="3B56E4CE">
        <w:start w:val="1"/>
        <w:numFmt w:val="decimal"/>
        <w:lvlText w:val="%7."/>
        <w:lvlJc w:val="right"/>
        <w:pPr>
          <w:ind w:left="3500" w:hanging="180"/>
        </w:pPr>
        <w:rPr>
          <w:rFonts w:cs="Times New Roman"/>
        </w:rPr>
      </w:lvl>
    </w:lvlOverride>
    <w:lvlOverride w:ilvl="7">
      <w:startOverride w:val="1"/>
      <w:lvl w:ilvl="7" w:tplc="3C923F58">
        <w:start w:val="1"/>
        <w:numFmt w:val="decimal"/>
        <w:lvlText w:val="%8."/>
        <w:lvlJc w:val="right"/>
        <w:pPr>
          <w:ind w:left="4000" w:hanging="180"/>
        </w:pPr>
        <w:rPr>
          <w:rFonts w:cs="Times New Roman"/>
        </w:rPr>
      </w:lvl>
    </w:lvlOverride>
    <w:lvlOverride w:ilvl="8">
      <w:startOverride w:val="1"/>
      <w:lvl w:ilvl="8" w:tplc="7020EE22">
        <w:start w:val="1"/>
        <w:numFmt w:val="decimal"/>
        <w:lvlText w:val="%9."/>
        <w:lvlJc w:val="right"/>
        <w:pPr>
          <w:ind w:left="4500" w:hanging="180"/>
        </w:pPr>
        <w:rPr>
          <w:rFonts w:cs="Times New Roman"/>
        </w:rPr>
      </w:lvl>
    </w:lvlOverride>
  </w:num>
  <w:num w:numId="2">
    <w:abstractNumId w:val="0"/>
    <w:lvlOverride w:ilvl="0">
      <w:startOverride w:val="1"/>
      <w:lvl w:ilvl="0" w:tplc="292CFB06">
        <w:start w:val="1"/>
        <w:numFmt w:val="bullet"/>
        <w:lvlText w:val=""/>
        <w:lvlJc w:val="right"/>
        <w:pPr>
          <w:ind w:left="500" w:hanging="180"/>
        </w:pPr>
        <w:rPr>
          <w:rFonts w:ascii="Symbol" w:hAnsi="Symbol" w:hint="default"/>
        </w:rPr>
      </w:lvl>
    </w:lvlOverride>
    <w:lvlOverride w:ilvl="1">
      <w:startOverride w:val="1"/>
      <w:lvl w:ilvl="1" w:tplc="9E04AB72">
        <w:start w:val="1"/>
        <w:numFmt w:val="decimal"/>
        <w:lvlText w:val="%2."/>
        <w:lvlJc w:val="right"/>
        <w:pPr>
          <w:ind w:left="1000" w:hanging="180"/>
        </w:pPr>
        <w:rPr>
          <w:rFonts w:cs="Times New Roman"/>
        </w:rPr>
      </w:lvl>
    </w:lvlOverride>
    <w:lvlOverride w:ilvl="2">
      <w:startOverride w:val="1"/>
      <w:lvl w:ilvl="2" w:tplc="BAB65DF6">
        <w:start w:val="1"/>
        <w:numFmt w:val="decimal"/>
        <w:lvlText w:val="%3."/>
        <w:lvlJc w:val="right"/>
        <w:pPr>
          <w:ind w:left="1500" w:hanging="180"/>
        </w:pPr>
        <w:rPr>
          <w:rFonts w:cs="Times New Roman"/>
        </w:rPr>
      </w:lvl>
    </w:lvlOverride>
    <w:lvlOverride w:ilvl="3">
      <w:startOverride w:val="1"/>
      <w:lvl w:ilvl="3" w:tplc="0AA8325E">
        <w:start w:val="1"/>
        <w:numFmt w:val="decimal"/>
        <w:lvlText w:val="%4."/>
        <w:lvlJc w:val="right"/>
        <w:pPr>
          <w:ind w:left="2000" w:hanging="180"/>
        </w:pPr>
        <w:rPr>
          <w:rFonts w:cs="Times New Roman"/>
        </w:rPr>
      </w:lvl>
    </w:lvlOverride>
    <w:lvlOverride w:ilvl="4">
      <w:startOverride w:val="1"/>
      <w:lvl w:ilvl="4" w:tplc="93DAB64E">
        <w:start w:val="1"/>
        <w:numFmt w:val="decimal"/>
        <w:lvlText w:val="%5."/>
        <w:lvlJc w:val="right"/>
        <w:pPr>
          <w:ind w:left="2500" w:hanging="180"/>
        </w:pPr>
        <w:rPr>
          <w:rFonts w:cs="Times New Roman"/>
        </w:rPr>
      </w:lvl>
    </w:lvlOverride>
    <w:lvlOverride w:ilvl="5">
      <w:startOverride w:val="1"/>
      <w:lvl w:ilvl="5" w:tplc="4E9C35FA">
        <w:start w:val="1"/>
        <w:numFmt w:val="decimal"/>
        <w:lvlText w:val="%6."/>
        <w:lvlJc w:val="right"/>
        <w:pPr>
          <w:ind w:left="3000" w:hanging="180"/>
        </w:pPr>
        <w:rPr>
          <w:rFonts w:cs="Times New Roman"/>
        </w:rPr>
      </w:lvl>
    </w:lvlOverride>
    <w:lvlOverride w:ilvl="6">
      <w:startOverride w:val="1"/>
      <w:lvl w:ilvl="6" w:tplc="26D04360">
        <w:start w:val="1"/>
        <w:numFmt w:val="decimal"/>
        <w:lvlText w:val="%7."/>
        <w:lvlJc w:val="right"/>
        <w:pPr>
          <w:ind w:left="3500" w:hanging="180"/>
        </w:pPr>
        <w:rPr>
          <w:rFonts w:cs="Times New Roman"/>
        </w:rPr>
      </w:lvl>
    </w:lvlOverride>
    <w:lvlOverride w:ilvl="7">
      <w:startOverride w:val="1"/>
      <w:lvl w:ilvl="7" w:tplc="1DBE436A">
        <w:start w:val="1"/>
        <w:numFmt w:val="decimal"/>
        <w:lvlText w:val="%8."/>
        <w:lvlJc w:val="right"/>
        <w:pPr>
          <w:ind w:left="4000" w:hanging="180"/>
        </w:pPr>
        <w:rPr>
          <w:rFonts w:cs="Times New Roman"/>
        </w:rPr>
      </w:lvl>
    </w:lvlOverride>
    <w:lvlOverride w:ilvl="8">
      <w:startOverride w:val="1"/>
      <w:lvl w:ilvl="8" w:tplc="8AB6E652">
        <w:start w:val="1"/>
        <w:numFmt w:val="decimal"/>
        <w:lvlText w:val="%9."/>
        <w:lvlJc w:val="right"/>
        <w:pPr>
          <w:ind w:left="4500" w:hanging="180"/>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202"/>
    <w:rsid w:val="00A85CE6"/>
    <w:rsid w:val="00C75202"/>
    <w:rsid w:val="00C90835"/>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02D67"/>
  <w15:chartTrackingRefBased/>
  <w15:docId w15:val="{101C104C-64D4-4E09-986D-6E8281B6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C752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Three">
    <w:name w:val="HeadingThree"/>
    <w:basedOn w:val="berschrift3"/>
    <w:next w:val="Standard"/>
    <w:link w:val="HeadingThreeChar"/>
    <w:qFormat/>
    <w:rsid w:val="00C75202"/>
    <w:pPr>
      <w:spacing w:before="240" w:after="240" w:line="276" w:lineRule="auto"/>
      <w:jc w:val="both"/>
    </w:pPr>
    <w:rPr>
      <w:rFonts w:ascii="Times New Roman" w:hAnsi="Times New Roman" w:cs="Times New Roman"/>
      <w:b/>
      <w:bCs/>
      <w:szCs w:val="28"/>
      <w:lang w:val="en-GB" w:eastAsia="en-GB"/>
    </w:rPr>
  </w:style>
  <w:style w:type="character" w:customStyle="1" w:styleId="HeadingThreeChar">
    <w:name w:val="HeadingThree Char"/>
    <w:basedOn w:val="berschrift3Zchn"/>
    <w:link w:val="HeadingThree"/>
    <w:locked/>
    <w:rsid w:val="00C75202"/>
    <w:rPr>
      <w:rFonts w:ascii="Times New Roman" w:eastAsiaTheme="majorEastAsia" w:hAnsi="Times New Roman" w:cs="Times New Roman"/>
      <w:b/>
      <w:bCs/>
      <w:color w:val="1F4D78" w:themeColor="accent1" w:themeShade="7F"/>
      <w:sz w:val="24"/>
      <w:szCs w:val="28"/>
      <w:lang w:val="en-GB" w:eastAsia="en-GB"/>
    </w:rPr>
  </w:style>
  <w:style w:type="paragraph" w:styleId="Listenabsatz">
    <w:name w:val="List Paragraph"/>
    <w:basedOn w:val="Standard"/>
    <w:link w:val="ListenabsatzZchn"/>
    <w:uiPriority w:val="34"/>
    <w:qFormat/>
    <w:rsid w:val="00C75202"/>
    <w:pPr>
      <w:spacing w:after="200" w:line="276" w:lineRule="auto"/>
      <w:ind w:left="720"/>
      <w:jc w:val="both"/>
    </w:pPr>
    <w:rPr>
      <w:rFonts w:ascii="Times New Roman" w:eastAsiaTheme="minorEastAsia" w:hAnsi="Times New Roman" w:cs="Arial"/>
      <w:sz w:val="24"/>
      <w:lang w:val="en-GB" w:eastAsia="en-GB"/>
    </w:rPr>
  </w:style>
  <w:style w:type="character" w:customStyle="1" w:styleId="ListenabsatzZchn">
    <w:name w:val="Listenabsatz Zchn"/>
    <w:basedOn w:val="Absatz-Standardschriftart"/>
    <w:link w:val="Listenabsatz"/>
    <w:uiPriority w:val="34"/>
    <w:locked/>
    <w:rsid w:val="00C75202"/>
    <w:rPr>
      <w:rFonts w:ascii="Times New Roman" w:eastAsiaTheme="minorEastAsia" w:hAnsi="Times New Roman" w:cs="Arial"/>
      <w:sz w:val="24"/>
      <w:lang w:val="en-GB" w:eastAsia="en-GB"/>
    </w:rPr>
  </w:style>
  <w:style w:type="paragraph" w:customStyle="1" w:styleId="CellTextValue">
    <w:name w:val="CellTextValue"/>
    <w:basedOn w:val="Standard"/>
    <w:link w:val="CellTextValueChar"/>
    <w:qFormat/>
    <w:rsid w:val="00C75202"/>
    <w:pPr>
      <w:spacing w:after="80" w:line="276" w:lineRule="auto"/>
      <w:jc w:val="both"/>
    </w:pPr>
    <w:rPr>
      <w:rFonts w:ascii="Times New Roman" w:eastAsiaTheme="minorEastAsia" w:hAnsi="Times New Roman" w:cs="Times New Roman"/>
      <w:sz w:val="24"/>
      <w:szCs w:val="24"/>
      <w:lang w:val="en-GB" w:eastAsia="en-GB"/>
    </w:rPr>
  </w:style>
  <w:style w:type="character" w:customStyle="1" w:styleId="CellTextValueChar">
    <w:name w:val="CellTextValue Char"/>
    <w:basedOn w:val="Absatz-Standardschriftart"/>
    <w:link w:val="CellTextValue"/>
    <w:locked/>
    <w:rsid w:val="00C75202"/>
    <w:rPr>
      <w:rFonts w:ascii="Times New Roman" w:eastAsiaTheme="minorEastAsia" w:hAnsi="Times New Roman" w:cs="Times New Roman"/>
      <w:sz w:val="24"/>
      <w:szCs w:val="24"/>
      <w:lang w:val="en-GB" w:eastAsia="en-GB"/>
    </w:rPr>
  </w:style>
  <w:style w:type="paragraph" w:customStyle="1" w:styleId="footnote1">
    <w:name w:val="footnote1"/>
    <w:basedOn w:val="Standard"/>
    <w:qFormat/>
    <w:rsid w:val="00C75202"/>
    <w:pPr>
      <w:spacing w:after="0" w:line="240" w:lineRule="auto"/>
      <w:ind w:left="720" w:hanging="720"/>
      <w:jc w:val="both"/>
    </w:pPr>
    <w:rPr>
      <w:rFonts w:ascii="Times New Roman" w:eastAsiaTheme="minorEastAsia" w:hAnsi="Times New Roman" w:cs="Arial"/>
      <w:sz w:val="20"/>
      <w:lang w:val="en-GB" w:eastAsia="en-GB"/>
    </w:rPr>
  </w:style>
  <w:style w:type="character" w:customStyle="1" w:styleId="berschrift3Zchn">
    <w:name w:val="Überschrift 3 Zchn"/>
    <w:basedOn w:val="Absatz-Standardschriftart"/>
    <w:link w:val="berschrift3"/>
    <w:uiPriority w:val="9"/>
    <w:semiHidden/>
    <w:rsid w:val="00C7520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1776</Words>
  <Characters>11190</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BayFOR</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Abelmann-Brockmann</dc:creator>
  <cp:keywords/>
  <dc:description/>
  <cp:lastModifiedBy>Anna Abelmann-Brockmann</cp:lastModifiedBy>
  <cp:revision>1</cp:revision>
  <dcterms:created xsi:type="dcterms:W3CDTF">2022-10-17T12:17:00Z</dcterms:created>
  <dcterms:modified xsi:type="dcterms:W3CDTF">2022-10-17T12:18:00Z</dcterms:modified>
</cp:coreProperties>
</file>